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C2D29D">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Style w:val="14"/>
          <w:rFonts w:hint="eastAsia" w:ascii="方正小标宋简体" w:hAnsi="方正小标宋简体" w:eastAsia="方正小标宋简体" w:cs="方正小标宋简体"/>
          <w:b w:val="0"/>
          <w:bCs w:val="0"/>
          <w:lang w:val="en-US" w:eastAsia="zh-CN" w:bidi="ar"/>
        </w:rPr>
      </w:pPr>
    </w:p>
    <w:p w14:paraId="43006EBC">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Style w:val="14"/>
          <w:rFonts w:hint="eastAsia" w:ascii="方正小标宋简体" w:hAnsi="方正小标宋简体" w:eastAsia="方正小标宋简体" w:cs="方正小标宋简体"/>
          <w:b w:val="0"/>
          <w:bCs w:val="0"/>
          <w:lang w:val="en-US" w:eastAsia="zh-CN" w:bidi="ar"/>
        </w:rPr>
      </w:pPr>
    </w:p>
    <w:p w14:paraId="3832A6B8">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Style w:val="14"/>
          <w:rFonts w:hint="eastAsia" w:ascii="方正小标宋简体" w:hAnsi="方正小标宋简体" w:eastAsia="方正小标宋简体" w:cs="方正小标宋简体"/>
          <w:b w:val="0"/>
          <w:bCs w:val="0"/>
          <w:lang w:val="en-US" w:eastAsia="zh-CN" w:bidi="ar"/>
        </w:rPr>
      </w:pPr>
      <w:r>
        <w:rPr>
          <w:rStyle w:val="14"/>
          <w:rFonts w:hint="eastAsia" w:ascii="方正小标宋简体" w:hAnsi="方正小标宋简体" w:eastAsia="方正小标宋简体" w:cs="方正小标宋简体"/>
          <w:b w:val="0"/>
          <w:bCs w:val="0"/>
          <w:lang w:val="en-US" w:eastAsia="zh-CN" w:bidi="ar"/>
        </w:rPr>
        <w:t>中共民乐县纪委办公室</w:t>
      </w:r>
    </w:p>
    <w:p w14:paraId="7E48DE6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Style w:val="14"/>
          <w:rFonts w:hint="eastAsia" w:ascii="方正小标宋简体" w:hAnsi="方正小标宋简体" w:eastAsia="方正小标宋简体" w:cs="方正小标宋简体"/>
          <w:b w:val="0"/>
          <w:bCs w:val="0"/>
          <w:sz w:val="44"/>
          <w:szCs w:val="44"/>
          <w:lang w:val="en-US" w:eastAsia="zh-CN"/>
        </w:rPr>
      </w:pPr>
      <w:r>
        <w:rPr>
          <w:rStyle w:val="14"/>
          <w:rFonts w:hint="eastAsia" w:ascii="方正小标宋简体" w:hAnsi="方正小标宋简体" w:eastAsia="方正小标宋简体" w:cs="方正小标宋简体"/>
          <w:b w:val="0"/>
          <w:bCs w:val="0"/>
          <w:sz w:val="44"/>
          <w:szCs w:val="44"/>
          <w:lang w:val="en-US" w:eastAsia="zh-CN"/>
        </w:rPr>
        <w:t>2023年度预算执行情况绩效自评报告</w:t>
      </w:r>
    </w:p>
    <w:p w14:paraId="67B33224">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黑体" w:hAnsi="宋体" w:eastAsia="黑体" w:cs="黑体"/>
          <w:i w:val="0"/>
          <w:iCs w:val="0"/>
          <w:color w:val="000000"/>
          <w:kern w:val="0"/>
          <w:sz w:val="32"/>
          <w:szCs w:val="32"/>
          <w:u w:val="none"/>
          <w:lang w:val="en-US" w:eastAsia="zh-CN" w:bidi="ar"/>
        </w:rPr>
      </w:pPr>
    </w:p>
    <w:p w14:paraId="4D9017E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adjustRightInd/>
        <w:snapToGrid/>
        <w:spacing w:before="0" w:beforeAutospacing="0" w:after="0" w:afterAutospacing="0" w:line="600" w:lineRule="exact"/>
        <w:ind w:left="130" w:leftChars="0" w:right="0" w:hanging="130" w:firstLineChars="0"/>
        <w:jc w:val="both"/>
        <w:textAlignment w:val="auto"/>
        <w:rPr>
          <w:rFonts w:hint="eastAsia" w:ascii="仿宋_GB2312" w:hAnsi="仿宋_GB2312" w:eastAsia="仿宋_GB2312" w:cs="仿宋_GB2312"/>
          <w:i w:val="0"/>
          <w:iCs w:val="0"/>
          <w:caps w:val="0"/>
          <w:color w:val="auto"/>
          <w:spacing w:val="0"/>
          <w:sz w:val="32"/>
          <w:szCs w:val="32"/>
          <w:shd w:val="clear" w:color="auto" w:fill="FFFFFF"/>
          <w:lang w:eastAsia="zh-CN"/>
        </w:rPr>
      </w:pPr>
      <w:r>
        <w:rPr>
          <w:rFonts w:hint="eastAsia" w:ascii="仿宋_GB2312" w:hAnsi="仿宋_GB2312" w:eastAsia="仿宋_GB2312" w:cs="仿宋_GB2312"/>
          <w:i w:val="0"/>
          <w:iCs w:val="0"/>
          <w:caps w:val="0"/>
          <w:color w:val="auto"/>
          <w:spacing w:val="0"/>
          <w:sz w:val="32"/>
          <w:szCs w:val="32"/>
          <w:shd w:val="clear" w:color="auto" w:fill="FFFFFF"/>
          <w:lang w:eastAsia="zh-CN"/>
        </w:rPr>
        <w:t>县财政局：</w:t>
      </w:r>
    </w:p>
    <w:p w14:paraId="4A339C7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adjustRightInd/>
        <w:snapToGrid/>
        <w:spacing w:before="0" w:beforeAutospacing="0" w:after="0" w:afterAutospacing="0" w:line="600" w:lineRule="exact"/>
        <w:ind w:left="0" w:leftChars="0" w:right="0" w:firstLine="626" w:firstLineChars="200"/>
        <w:jc w:val="both"/>
        <w:textAlignment w:val="auto"/>
        <w:rPr>
          <w:rFonts w:hint="default" w:ascii="仿宋_GB2312" w:hAnsi="仿宋_GB2312" w:eastAsia="仿宋_GB2312" w:cs="仿宋_GB2312"/>
          <w:i w:val="0"/>
          <w:iCs w:val="0"/>
          <w:caps w:val="0"/>
          <w:color w:val="auto"/>
          <w:spacing w:val="0"/>
          <w:w w:val="98"/>
          <w:sz w:val="32"/>
          <w:szCs w:val="32"/>
          <w:lang w:val="en-US" w:eastAsia="zh-CN"/>
        </w:rPr>
      </w:pPr>
      <w:r>
        <w:rPr>
          <w:rFonts w:hint="eastAsia" w:ascii="仿宋_GB2312" w:hAnsi="仿宋_GB2312" w:eastAsia="仿宋_GB2312" w:cs="仿宋_GB2312"/>
          <w:i w:val="0"/>
          <w:iCs w:val="0"/>
          <w:caps w:val="0"/>
          <w:color w:val="auto"/>
          <w:spacing w:val="0"/>
          <w:w w:val="98"/>
          <w:sz w:val="32"/>
          <w:szCs w:val="32"/>
          <w:shd w:val="clear" w:color="auto" w:fill="FFFFFF"/>
        </w:rPr>
        <w:t>根据《</w:t>
      </w:r>
      <w:r>
        <w:rPr>
          <w:rFonts w:hint="eastAsia" w:ascii="仿宋_GB2312" w:hAnsi="仿宋_GB2312" w:eastAsia="仿宋_GB2312" w:cs="仿宋_GB2312"/>
          <w:i w:val="0"/>
          <w:iCs w:val="0"/>
          <w:caps w:val="0"/>
          <w:color w:val="auto"/>
          <w:spacing w:val="0"/>
          <w:w w:val="98"/>
          <w:sz w:val="32"/>
          <w:szCs w:val="32"/>
          <w:shd w:val="clear" w:color="auto" w:fill="FFFFFF"/>
          <w:lang w:eastAsia="zh-CN"/>
        </w:rPr>
        <w:t>民乐县</w:t>
      </w:r>
      <w:r>
        <w:rPr>
          <w:rFonts w:hint="eastAsia" w:ascii="仿宋_GB2312" w:hAnsi="仿宋_GB2312" w:eastAsia="仿宋_GB2312" w:cs="仿宋_GB2312"/>
          <w:i w:val="0"/>
          <w:iCs w:val="0"/>
          <w:caps w:val="0"/>
          <w:color w:val="auto"/>
          <w:spacing w:val="0"/>
          <w:w w:val="98"/>
          <w:sz w:val="32"/>
          <w:szCs w:val="32"/>
          <w:shd w:val="clear" w:color="auto" w:fill="FFFFFF"/>
        </w:rPr>
        <w:t>财政局关于</w:t>
      </w:r>
      <w:r>
        <w:rPr>
          <w:rFonts w:hint="eastAsia" w:ascii="仿宋_GB2312" w:hAnsi="仿宋_GB2312" w:eastAsia="仿宋_GB2312" w:cs="仿宋_GB2312"/>
          <w:i w:val="0"/>
          <w:iCs w:val="0"/>
          <w:caps w:val="0"/>
          <w:color w:val="auto"/>
          <w:spacing w:val="0"/>
          <w:w w:val="98"/>
          <w:sz w:val="32"/>
          <w:szCs w:val="32"/>
          <w:shd w:val="clear" w:color="auto" w:fill="FFFFFF"/>
          <w:lang w:eastAsia="zh-CN"/>
        </w:rPr>
        <w:t>开展</w:t>
      </w:r>
      <w:r>
        <w:rPr>
          <w:rFonts w:hint="eastAsia" w:ascii="仿宋_GB2312" w:hAnsi="仿宋_GB2312" w:eastAsia="仿宋_GB2312" w:cs="仿宋_GB2312"/>
          <w:i w:val="0"/>
          <w:iCs w:val="0"/>
          <w:caps w:val="0"/>
          <w:color w:val="auto"/>
          <w:spacing w:val="0"/>
          <w:w w:val="98"/>
          <w:sz w:val="32"/>
          <w:szCs w:val="32"/>
          <w:shd w:val="clear" w:color="auto" w:fill="FFFFFF"/>
          <w:lang w:val="en-US" w:eastAsia="zh-CN"/>
        </w:rPr>
        <w:t>2023年度县级预算执行情况绩效单位自评暨2024年度绩效目标申报和事前绩效评估工作</w:t>
      </w:r>
      <w:r>
        <w:rPr>
          <w:rFonts w:hint="eastAsia" w:ascii="仿宋_GB2312" w:hAnsi="仿宋_GB2312" w:eastAsia="仿宋_GB2312" w:cs="仿宋_GB2312"/>
          <w:i w:val="0"/>
          <w:iCs w:val="0"/>
          <w:caps w:val="0"/>
          <w:color w:val="auto"/>
          <w:spacing w:val="0"/>
          <w:w w:val="98"/>
          <w:sz w:val="32"/>
          <w:szCs w:val="32"/>
          <w:shd w:val="clear" w:color="auto" w:fill="FFFFFF"/>
        </w:rPr>
        <w:t>的通知》</w:t>
      </w:r>
      <w:r>
        <w:rPr>
          <w:rFonts w:hint="eastAsia" w:ascii="仿宋_GB2312" w:hAnsi="仿宋_GB2312" w:eastAsia="仿宋_GB2312" w:cs="仿宋_GB2312"/>
          <w:i w:val="0"/>
          <w:iCs w:val="0"/>
          <w:caps w:val="0"/>
          <w:color w:val="auto"/>
          <w:spacing w:val="0"/>
          <w:w w:val="98"/>
          <w:sz w:val="32"/>
          <w:szCs w:val="32"/>
          <w:shd w:val="clear" w:color="auto" w:fill="FFFFFF"/>
          <w:lang w:eastAsia="zh-CN"/>
        </w:rPr>
        <w:t>（民</w:t>
      </w:r>
      <w:r>
        <w:rPr>
          <w:rFonts w:hint="eastAsia" w:ascii="仿宋_GB2312" w:hAnsi="仿宋_GB2312" w:eastAsia="仿宋_GB2312" w:cs="仿宋_GB2312"/>
          <w:i w:val="0"/>
          <w:iCs w:val="0"/>
          <w:caps w:val="0"/>
          <w:color w:val="auto"/>
          <w:spacing w:val="0"/>
          <w:w w:val="98"/>
          <w:sz w:val="32"/>
          <w:szCs w:val="32"/>
          <w:shd w:val="clear" w:color="auto" w:fill="FFFFFF"/>
        </w:rPr>
        <w:t>财</w:t>
      </w:r>
      <w:r>
        <w:rPr>
          <w:rFonts w:hint="eastAsia" w:ascii="仿宋_GB2312" w:hAnsi="仿宋_GB2312" w:eastAsia="仿宋_GB2312" w:cs="仿宋_GB2312"/>
          <w:i w:val="0"/>
          <w:iCs w:val="0"/>
          <w:caps w:val="0"/>
          <w:color w:val="auto"/>
          <w:spacing w:val="0"/>
          <w:w w:val="98"/>
          <w:sz w:val="32"/>
          <w:szCs w:val="32"/>
          <w:shd w:val="clear" w:color="auto" w:fill="FFFFFF"/>
          <w:lang w:eastAsia="zh-CN"/>
        </w:rPr>
        <w:t>监评〔</w:t>
      </w:r>
      <w:r>
        <w:rPr>
          <w:rFonts w:hint="eastAsia" w:ascii="仿宋_GB2312" w:hAnsi="仿宋_GB2312" w:eastAsia="仿宋_GB2312" w:cs="仿宋_GB2312"/>
          <w:i w:val="0"/>
          <w:iCs w:val="0"/>
          <w:caps w:val="0"/>
          <w:color w:val="auto"/>
          <w:spacing w:val="0"/>
          <w:w w:val="98"/>
          <w:sz w:val="32"/>
          <w:szCs w:val="32"/>
          <w:shd w:val="clear" w:color="auto" w:fill="FFFFFF"/>
        </w:rPr>
        <w:t>202</w:t>
      </w:r>
      <w:r>
        <w:rPr>
          <w:rFonts w:hint="eastAsia" w:ascii="仿宋_GB2312" w:hAnsi="仿宋_GB2312" w:eastAsia="仿宋_GB2312" w:cs="仿宋_GB2312"/>
          <w:i w:val="0"/>
          <w:iCs w:val="0"/>
          <w:caps w:val="0"/>
          <w:color w:val="auto"/>
          <w:spacing w:val="0"/>
          <w:w w:val="98"/>
          <w:sz w:val="32"/>
          <w:szCs w:val="32"/>
          <w:shd w:val="clear" w:color="auto" w:fill="FFFFFF"/>
          <w:lang w:val="en-US" w:eastAsia="zh-CN"/>
        </w:rPr>
        <w:t>4</w:t>
      </w:r>
      <w:r>
        <w:rPr>
          <w:rFonts w:hint="eastAsia" w:ascii="仿宋_GB2312" w:hAnsi="仿宋_GB2312" w:eastAsia="仿宋_GB2312" w:cs="仿宋_GB2312"/>
          <w:i w:val="0"/>
          <w:iCs w:val="0"/>
          <w:caps w:val="0"/>
          <w:color w:val="auto"/>
          <w:spacing w:val="0"/>
          <w:w w:val="98"/>
          <w:sz w:val="32"/>
          <w:szCs w:val="32"/>
          <w:shd w:val="clear" w:color="auto" w:fill="FFFFFF"/>
          <w:lang w:eastAsia="zh-CN"/>
        </w:rPr>
        <w:t>〕</w:t>
      </w:r>
      <w:r>
        <w:rPr>
          <w:rFonts w:hint="eastAsia" w:ascii="仿宋_GB2312" w:hAnsi="仿宋_GB2312" w:eastAsia="仿宋_GB2312" w:cs="仿宋_GB2312"/>
          <w:i w:val="0"/>
          <w:iCs w:val="0"/>
          <w:caps w:val="0"/>
          <w:color w:val="auto"/>
          <w:spacing w:val="0"/>
          <w:w w:val="98"/>
          <w:sz w:val="32"/>
          <w:szCs w:val="32"/>
          <w:shd w:val="clear" w:color="auto" w:fill="FFFFFF"/>
          <w:lang w:val="en-US" w:eastAsia="zh-CN"/>
        </w:rPr>
        <w:t>1</w:t>
      </w:r>
      <w:r>
        <w:rPr>
          <w:rFonts w:hint="eastAsia" w:ascii="仿宋_GB2312" w:hAnsi="仿宋_GB2312" w:eastAsia="仿宋_GB2312" w:cs="仿宋_GB2312"/>
          <w:i w:val="0"/>
          <w:iCs w:val="0"/>
          <w:caps w:val="0"/>
          <w:color w:val="auto"/>
          <w:spacing w:val="0"/>
          <w:w w:val="98"/>
          <w:sz w:val="32"/>
          <w:szCs w:val="32"/>
          <w:shd w:val="clear" w:color="auto" w:fill="FFFFFF"/>
        </w:rPr>
        <w:t>号</w:t>
      </w:r>
      <w:r>
        <w:rPr>
          <w:rFonts w:hint="eastAsia" w:ascii="仿宋_GB2312" w:hAnsi="仿宋_GB2312" w:eastAsia="仿宋_GB2312" w:cs="仿宋_GB2312"/>
          <w:i w:val="0"/>
          <w:iCs w:val="0"/>
          <w:caps w:val="0"/>
          <w:color w:val="auto"/>
          <w:spacing w:val="0"/>
          <w:w w:val="98"/>
          <w:sz w:val="32"/>
          <w:szCs w:val="32"/>
          <w:shd w:val="clear" w:color="auto" w:fill="FFFFFF"/>
          <w:lang w:eastAsia="zh-CN"/>
        </w:rPr>
        <w:t>）</w:t>
      </w:r>
      <w:r>
        <w:rPr>
          <w:rFonts w:hint="eastAsia" w:ascii="仿宋_GB2312" w:hAnsi="仿宋_GB2312" w:eastAsia="仿宋_GB2312" w:cs="仿宋_GB2312"/>
          <w:i w:val="0"/>
          <w:iCs w:val="0"/>
          <w:caps w:val="0"/>
          <w:color w:val="auto"/>
          <w:spacing w:val="0"/>
          <w:w w:val="98"/>
          <w:sz w:val="32"/>
          <w:szCs w:val="32"/>
          <w:shd w:val="clear" w:color="auto" w:fill="FFFFFF"/>
        </w:rPr>
        <w:t>文件精神，按照“</w:t>
      </w:r>
      <w:r>
        <w:rPr>
          <w:rFonts w:hint="eastAsia" w:ascii="仿宋_GB2312" w:hAnsi="仿宋_GB2312" w:eastAsia="仿宋_GB2312" w:cs="仿宋_GB2312"/>
          <w:i w:val="0"/>
          <w:iCs w:val="0"/>
          <w:caps w:val="0"/>
          <w:color w:val="auto"/>
          <w:spacing w:val="0"/>
          <w:w w:val="98"/>
          <w:sz w:val="32"/>
          <w:szCs w:val="32"/>
          <w:shd w:val="clear" w:color="auto" w:fill="FFFFFF"/>
          <w:lang w:eastAsia="zh-CN"/>
        </w:rPr>
        <w:t>统一组织、分级实施</w:t>
      </w:r>
      <w:r>
        <w:rPr>
          <w:rFonts w:hint="eastAsia" w:ascii="仿宋_GB2312" w:hAnsi="仿宋_GB2312" w:eastAsia="仿宋_GB2312" w:cs="仿宋_GB2312"/>
          <w:i w:val="0"/>
          <w:iCs w:val="0"/>
          <w:caps w:val="0"/>
          <w:color w:val="auto"/>
          <w:spacing w:val="0"/>
          <w:w w:val="98"/>
          <w:sz w:val="32"/>
          <w:szCs w:val="32"/>
          <w:shd w:val="clear" w:color="auto" w:fill="FFFFFF"/>
        </w:rPr>
        <w:t>”的原则，</w:t>
      </w:r>
      <w:r>
        <w:rPr>
          <w:rFonts w:hint="eastAsia" w:ascii="仿宋_GB2312" w:hAnsi="仿宋_GB2312" w:eastAsia="仿宋_GB2312" w:cs="仿宋_GB2312"/>
          <w:i w:val="0"/>
          <w:iCs w:val="0"/>
          <w:caps w:val="0"/>
          <w:color w:val="auto"/>
          <w:spacing w:val="0"/>
          <w:w w:val="98"/>
          <w:sz w:val="32"/>
          <w:szCs w:val="32"/>
          <w:shd w:val="clear" w:color="auto" w:fill="FFFFFF"/>
          <w:lang w:eastAsia="zh-CN"/>
        </w:rPr>
        <w:t>我委认真组织</w:t>
      </w:r>
      <w:r>
        <w:rPr>
          <w:rFonts w:hint="eastAsia" w:ascii="仿宋_GB2312" w:hAnsi="仿宋_GB2312" w:eastAsia="仿宋_GB2312" w:cs="仿宋_GB2312"/>
          <w:i w:val="0"/>
          <w:iCs w:val="0"/>
          <w:caps w:val="0"/>
          <w:color w:val="auto"/>
          <w:spacing w:val="0"/>
          <w:w w:val="98"/>
          <w:sz w:val="32"/>
          <w:szCs w:val="32"/>
          <w:shd w:val="clear" w:color="auto" w:fill="FFFFFF"/>
        </w:rPr>
        <w:t>开展202</w:t>
      </w:r>
      <w:r>
        <w:rPr>
          <w:rFonts w:hint="eastAsia" w:ascii="仿宋_GB2312" w:hAnsi="仿宋_GB2312" w:eastAsia="仿宋_GB2312" w:cs="仿宋_GB2312"/>
          <w:i w:val="0"/>
          <w:iCs w:val="0"/>
          <w:caps w:val="0"/>
          <w:color w:val="auto"/>
          <w:spacing w:val="0"/>
          <w:w w:val="98"/>
          <w:sz w:val="32"/>
          <w:szCs w:val="32"/>
          <w:shd w:val="clear" w:color="auto" w:fill="FFFFFF"/>
          <w:lang w:val="en-US" w:eastAsia="zh-CN"/>
        </w:rPr>
        <w:t>3</w:t>
      </w:r>
      <w:r>
        <w:rPr>
          <w:rFonts w:hint="eastAsia" w:ascii="仿宋_GB2312" w:hAnsi="仿宋_GB2312" w:eastAsia="仿宋_GB2312" w:cs="仿宋_GB2312"/>
          <w:i w:val="0"/>
          <w:iCs w:val="0"/>
          <w:caps w:val="0"/>
          <w:color w:val="auto"/>
          <w:spacing w:val="0"/>
          <w:w w:val="98"/>
          <w:sz w:val="32"/>
          <w:szCs w:val="32"/>
          <w:shd w:val="clear" w:color="auto" w:fill="FFFFFF"/>
        </w:rPr>
        <w:t>年</w:t>
      </w:r>
      <w:r>
        <w:rPr>
          <w:rFonts w:hint="eastAsia" w:ascii="仿宋_GB2312" w:hAnsi="仿宋_GB2312" w:eastAsia="仿宋_GB2312" w:cs="仿宋_GB2312"/>
          <w:i w:val="0"/>
          <w:iCs w:val="0"/>
          <w:caps w:val="0"/>
          <w:color w:val="auto"/>
          <w:spacing w:val="0"/>
          <w:w w:val="98"/>
          <w:sz w:val="32"/>
          <w:szCs w:val="32"/>
          <w:shd w:val="clear" w:color="auto" w:fill="FFFFFF"/>
          <w:lang w:eastAsia="zh-CN"/>
        </w:rPr>
        <w:t>度</w:t>
      </w:r>
      <w:r>
        <w:rPr>
          <w:rFonts w:hint="eastAsia" w:ascii="仿宋_GB2312" w:hAnsi="仿宋_GB2312" w:eastAsia="仿宋_GB2312" w:cs="仿宋_GB2312"/>
          <w:i w:val="0"/>
          <w:iCs w:val="0"/>
          <w:caps w:val="0"/>
          <w:color w:val="auto"/>
          <w:spacing w:val="0"/>
          <w:w w:val="98"/>
          <w:sz w:val="32"/>
          <w:szCs w:val="32"/>
          <w:shd w:val="clear" w:color="auto" w:fill="FFFFFF"/>
          <w:lang w:val="en-US" w:eastAsia="zh-CN"/>
        </w:rPr>
        <w:t>部门整体</w:t>
      </w:r>
      <w:r>
        <w:rPr>
          <w:rFonts w:hint="eastAsia" w:ascii="仿宋_GB2312" w:hAnsi="仿宋_GB2312" w:eastAsia="仿宋_GB2312" w:cs="仿宋_GB2312"/>
          <w:i w:val="0"/>
          <w:iCs w:val="0"/>
          <w:caps w:val="0"/>
          <w:color w:val="auto"/>
          <w:spacing w:val="0"/>
          <w:w w:val="98"/>
          <w:sz w:val="32"/>
          <w:szCs w:val="32"/>
          <w:shd w:val="clear" w:color="auto" w:fill="FFFFFF"/>
        </w:rPr>
        <w:t>绩效自评工作，切实提高财政资金的使用效益</w:t>
      </w:r>
      <w:r>
        <w:rPr>
          <w:rFonts w:hint="eastAsia" w:ascii="仿宋_GB2312" w:hAnsi="仿宋_GB2312" w:eastAsia="仿宋_GB2312" w:cs="仿宋_GB2312"/>
          <w:i w:val="0"/>
          <w:iCs w:val="0"/>
          <w:caps w:val="0"/>
          <w:color w:val="auto"/>
          <w:spacing w:val="0"/>
          <w:w w:val="98"/>
          <w:sz w:val="32"/>
          <w:szCs w:val="32"/>
          <w:shd w:val="clear" w:color="auto" w:fill="FFFFFF"/>
          <w:lang w:eastAsia="zh-CN"/>
        </w:rPr>
        <w:t>。现将自评情况报告如下</w:t>
      </w:r>
      <w:r>
        <w:rPr>
          <w:rFonts w:hint="eastAsia" w:ascii="仿宋_GB2312" w:hAnsi="仿宋_GB2312" w:eastAsia="仿宋_GB2312" w:cs="仿宋_GB2312"/>
          <w:i w:val="0"/>
          <w:iCs w:val="0"/>
          <w:caps w:val="0"/>
          <w:color w:val="auto"/>
          <w:spacing w:val="0"/>
          <w:w w:val="98"/>
          <w:sz w:val="32"/>
          <w:szCs w:val="32"/>
          <w:shd w:val="clear" w:color="auto" w:fill="FFFFFF"/>
          <w:lang w:val="en-US" w:eastAsia="zh-CN"/>
        </w:rPr>
        <w:t>:</w:t>
      </w:r>
    </w:p>
    <w:p w14:paraId="47CB3E7E">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黑体" w:hAnsi="宋体" w:eastAsia="黑体" w:cs="黑体"/>
          <w:i w:val="0"/>
          <w:iCs w:val="0"/>
          <w:color w:val="000000"/>
          <w:kern w:val="0"/>
          <w:sz w:val="32"/>
          <w:szCs w:val="32"/>
          <w:u w:val="none"/>
          <w:lang w:val="en-US" w:eastAsia="zh-CN" w:bidi="ar"/>
        </w:rPr>
      </w:pPr>
      <w:r>
        <w:rPr>
          <w:rFonts w:hint="eastAsia" w:ascii="黑体" w:hAnsi="宋体" w:eastAsia="黑体" w:cs="黑体"/>
          <w:i w:val="0"/>
          <w:iCs w:val="0"/>
          <w:color w:val="000000"/>
          <w:kern w:val="0"/>
          <w:sz w:val="32"/>
          <w:szCs w:val="32"/>
          <w:u w:val="none"/>
          <w:lang w:val="en-US" w:eastAsia="zh-CN" w:bidi="ar"/>
        </w:rPr>
        <w:t>　　一、基本情况</w:t>
      </w:r>
    </w:p>
    <w:p w14:paraId="1D960B77">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楷体_GB2312" w:hAnsi="楷体_GB2312" w:eastAsia="楷体_GB2312" w:cs="楷体_GB2312"/>
          <w:b w:val="0"/>
          <w:bCs w:val="0"/>
          <w:i w:val="0"/>
          <w:iCs w:val="0"/>
          <w:color w:val="000000"/>
          <w:kern w:val="0"/>
          <w:sz w:val="32"/>
          <w:szCs w:val="32"/>
          <w:u w:val="none"/>
          <w:lang w:val="en-US" w:eastAsia="zh-CN" w:bidi="ar"/>
        </w:rPr>
      </w:pPr>
      <w:r>
        <w:rPr>
          <w:rFonts w:hint="eastAsia" w:ascii="楷体_GB2312" w:hAnsi="楷体_GB2312" w:eastAsia="楷体_GB2312" w:cs="楷体_GB2312"/>
          <w:b w:val="0"/>
          <w:bCs w:val="0"/>
          <w:i w:val="0"/>
          <w:iCs w:val="0"/>
          <w:color w:val="000000"/>
          <w:kern w:val="0"/>
          <w:sz w:val="32"/>
          <w:szCs w:val="32"/>
          <w:u w:val="none"/>
          <w:lang w:val="en-US" w:eastAsia="zh-CN" w:bidi="ar"/>
        </w:rPr>
        <w:t>（一）部门主要职能</w:t>
      </w:r>
    </w:p>
    <w:p w14:paraId="6FF8EE3B">
      <w:pPr>
        <w:keepNext w:val="0"/>
        <w:keepLines w:val="0"/>
        <w:pageBreakBefore w:val="0"/>
        <w:kinsoku/>
        <w:wordWrap/>
        <w:overflowPunct/>
        <w:topLinePunct w:val="0"/>
        <w:autoSpaceDE/>
        <w:autoSpaceDN/>
        <w:bidi w:val="0"/>
        <w:adjustRightInd/>
        <w:snapToGrid/>
        <w:spacing w:line="52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①</w:t>
      </w:r>
      <w:r>
        <w:rPr>
          <w:rFonts w:hint="eastAsia" w:ascii="仿宋_GB2312" w:hAnsi="仿宋_GB2312" w:eastAsia="仿宋_GB2312" w:cs="仿宋_GB2312"/>
          <w:sz w:val="32"/>
          <w:szCs w:val="32"/>
        </w:rPr>
        <w:t>职能职责</w:t>
      </w:r>
    </w:p>
    <w:p w14:paraId="38931BFE">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中共民乐县纪律检查委员会负责全县党的纪律检查工作，民乐县监察委员会负责全县监察工作。</w:t>
      </w:r>
    </w:p>
    <w:p w14:paraId="07C10543">
      <w:pPr>
        <w:keepNext w:val="0"/>
        <w:keepLines w:val="0"/>
        <w:pageBreakBefore w:val="0"/>
        <w:kinsoku/>
        <w:wordWrap/>
        <w:overflowPunct/>
        <w:topLinePunct w:val="0"/>
        <w:autoSpaceDE/>
        <w:autoSpaceDN/>
        <w:bidi w:val="0"/>
        <w:adjustRightInd/>
        <w:snapToGrid/>
        <w:spacing w:line="520" w:lineRule="exact"/>
        <w:ind w:firstLine="708" w:firstLineChars="200"/>
        <w:textAlignment w:val="auto"/>
        <w:rPr>
          <w:rFonts w:hint="eastAsia" w:ascii="仿宋_GB2312" w:hAnsi="仿宋_GB2312" w:eastAsia="仿宋_GB2312" w:cs="仿宋_GB2312"/>
          <w:spacing w:val="17"/>
          <w:sz w:val="32"/>
          <w:szCs w:val="32"/>
        </w:rPr>
      </w:pPr>
      <w:r>
        <w:rPr>
          <w:rFonts w:hint="eastAsia" w:ascii="仿宋_GB2312" w:hAnsi="仿宋_GB2312" w:eastAsia="仿宋_GB2312" w:cs="仿宋_GB2312"/>
          <w:spacing w:val="17"/>
          <w:sz w:val="32"/>
          <w:szCs w:val="32"/>
        </w:rPr>
        <w:t xml:space="preserve">1.主管全县党的纪律检查工作，负责贯彻落实省委、省纪委和市委、市纪委和县委关于加强党风廉政建设的决定，维护党的章程和其他党内法规，检查党的路线、方针、政策和决议的执行情况；负责对党风廉政建设责任制执行情况进行监督检查。 </w:t>
      </w:r>
    </w:p>
    <w:p w14:paraId="7B594C98">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2.负责全县监察工作。检查并处理县级机关部门、各镇（社区）的组织和县委管理的党员领导干部违反党的章程及党内法规的案件，决定对这些案件中的党组织和党员的处分或提出给予处分的建议。</w:t>
      </w:r>
    </w:p>
    <w:p w14:paraId="607D2050">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负责对本地区所有行使公权力的公职人员依法实施监察。履行监督、调查、处置职责，监督检查公职人员依法履职、秉公用权、廉洁从政以及道德操守情况，调查涉嫌贪污贿赂、滥用职权、玩忽职守、权力寻租、利益输送、徇私舞弊以及浪费国家资财等职务违法和职务犯罪行为并作出处置决定，对涉嫌职务犯罪的，移送检察机关依法提起公诉；必要时直接查处下级党的纪检监察组织管辖范围的比较重要或复杂的案件。</w:t>
      </w:r>
    </w:p>
    <w:p w14:paraId="56008F19">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4.负责组织协调全县党风廉政建设和反腐败工作，承担县委反腐败协调小组的工作职责。</w:t>
      </w:r>
    </w:p>
    <w:p w14:paraId="0F5412A0">
      <w:pPr>
        <w:keepNext w:val="0"/>
        <w:keepLines w:val="0"/>
        <w:pageBreakBefore w:val="0"/>
        <w:kinsoku/>
        <w:wordWrap/>
        <w:overflowPunct/>
        <w:topLinePunct w:val="0"/>
        <w:autoSpaceDE/>
        <w:autoSpaceDN/>
        <w:bidi w:val="0"/>
        <w:adjustRightInd/>
        <w:snapToGrid/>
        <w:spacing w:line="560" w:lineRule="exact"/>
        <w:ind w:firstLine="596"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pacing w:val="-11"/>
          <w:sz w:val="32"/>
          <w:szCs w:val="32"/>
        </w:rPr>
        <w:t xml:space="preserve">5.受理党员的控告和申诉；受理监察对象不服政纪处分的申诉；受理个人或单位对党员干部和监察对象违纪行为的检举、控告；保护党员和国家工作人员的正当权利和合法权益。 </w:t>
      </w:r>
    </w:p>
    <w:p w14:paraId="1D46F217">
      <w:pPr>
        <w:keepNext w:val="0"/>
        <w:keepLines w:val="0"/>
        <w:pageBreakBefore w:val="0"/>
        <w:kinsoku/>
        <w:wordWrap/>
        <w:overflowPunct/>
        <w:topLinePunct w:val="0"/>
        <w:autoSpaceDE/>
        <w:autoSpaceDN/>
        <w:bidi w:val="0"/>
        <w:adjustRightInd/>
        <w:snapToGrid/>
        <w:spacing w:line="560" w:lineRule="exact"/>
        <w:ind w:firstLine="596"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pacing w:val="-11"/>
          <w:sz w:val="32"/>
          <w:szCs w:val="32"/>
        </w:rPr>
        <w:t>6.制定党风廉政建设和反腐败斗争的规范性文件及政策。</w:t>
      </w:r>
      <w:r>
        <w:rPr>
          <w:rFonts w:hint="eastAsia" w:ascii="仿宋_GB2312" w:hAnsi="仿宋_GB2312" w:eastAsia="仿宋_GB2312" w:cs="仿宋_GB2312"/>
          <w:sz w:val="32"/>
          <w:szCs w:val="32"/>
        </w:rPr>
        <w:t xml:space="preserve"> </w:t>
      </w:r>
    </w:p>
    <w:p w14:paraId="120BB72E">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7.负责制定党风廉政建设和党纪政纪教育计划；配合有关部门做好党的纪律检查工作方针、政策、法律、法规的宣传工作；教育党员和国家工作人员遵纪守法，为政清廉。</w:t>
      </w:r>
    </w:p>
    <w:p w14:paraId="1780C546">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8.负责对党的纪律检查的理论研究；对党风廉政建设和反腐败工作中带苗头性、倾向性的问题进行调查研究。</w:t>
      </w:r>
    </w:p>
    <w:p w14:paraId="4FB37E8F">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9.承担县委、市纪委和市监委授权和交办的其它事项。</w:t>
      </w:r>
    </w:p>
    <w:p w14:paraId="28CC64F5">
      <w:pPr>
        <w:pStyle w:val="8"/>
        <w:keepNext w:val="0"/>
        <w:keepLines w:val="0"/>
        <w:pageBreakBefore w:val="0"/>
        <w:kinsoku/>
        <w:wordWrap/>
        <w:overflowPunct/>
        <w:topLinePunct w:val="0"/>
        <w:autoSpaceDE/>
        <w:autoSpaceDN/>
        <w:bidi w:val="0"/>
        <w:adjustRightInd w:val="0"/>
        <w:snapToGrid w:val="0"/>
        <w:spacing w:line="560" w:lineRule="exact"/>
        <w:ind w:left="0" w:leftChars="0" w:firstLine="0" w:firstLineChars="0"/>
        <w:textAlignment w:val="auto"/>
        <w:rPr>
          <w:rFonts w:hint="eastAsia" w:ascii="楷体_GB2312" w:hAnsi="楷体_GB2312" w:eastAsia="楷体_GB2312" w:cs="楷体_GB2312"/>
          <w:b w:val="0"/>
          <w:bCs w:val="0"/>
          <w:i w:val="0"/>
          <w:iCs w:val="0"/>
          <w:color w:val="000000"/>
          <w:kern w:val="0"/>
          <w:sz w:val="32"/>
          <w:szCs w:val="32"/>
          <w:u w:val="none"/>
          <w:lang w:val="en-US" w:eastAsia="zh-CN" w:bidi="ar"/>
        </w:rPr>
      </w:pPr>
      <w:r>
        <w:rPr>
          <w:rFonts w:hint="eastAsia" w:ascii="仿宋_GB2312" w:hAnsi="仿宋_GB2312" w:cs="仿宋_GB2312"/>
          <w:sz w:val="32"/>
          <w:szCs w:val="32"/>
          <w:lang w:val="en-US" w:eastAsia="zh-CN"/>
        </w:rPr>
        <w:t xml:space="preserve">   </w:t>
      </w:r>
      <w:r>
        <w:rPr>
          <w:rFonts w:hint="eastAsia" w:ascii="楷体_GB2312" w:hAnsi="楷体_GB2312" w:eastAsia="楷体_GB2312" w:cs="楷体_GB2312"/>
          <w:b w:val="0"/>
          <w:bCs w:val="0"/>
          <w:i w:val="0"/>
          <w:iCs w:val="0"/>
          <w:color w:val="000000"/>
          <w:kern w:val="0"/>
          <w:sz w:val="32"/>
          <w:szCs w:val="32"/>
          <w:u w:val="none"/>
          <w:lang w:val="en-US" w:eastAsia="zh-CN" w:bidi="ar"/>
        </w:rPr>
        <w:t>（二）内设机构及所属单位概况</w:t>
      </w:r>
    </w:p>
    <w:p w14:paraId="5BF91FB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b w:val="0"/>
          <w:bCs w:val="0"/>
          <w:sz w:val="32"/>
          <w:szCs w:val="24"/>
        </w:rPr>
      </w:pPr>
      <w:r>
        <w:rPr>
          <w:rStyle w:val="11"/>
          <w:rFonts w:hint="eastAsia" w:ascii="仿宋_GB2312" w:hAnsi="仿宋_GB2312" w:eastAsia="仿宋_GB2312" w:cs="仿宋_GB2312"/>
          <w:b w:val="0"/>
          <w:bCs w:val="0"/>
          <w:color w:val="000000"/>
          <w:sz w:val="32"/>
          <w:szCs w:val="24"/>
        </w:rPr>
        <w:t>1.机关内设机构</w:t>
      </w:r>
    </w:p>
    <w:p w14:paraId="166E770C">
      <w:pPr>
        <w:keepNext w:val="0"/>
        <w:keepLines w:val="0"/>
        <w:pageBreakBefore w:val="0"/>
        <w:kinsoku/>
        <w:wordWrap/>
        <w:overflowPunct/>
        <w:topLinePunct w:val="0"/>
        <w:autoSpaceDE/>
        <w:autoSpaceDN/>
        <w:bidi w:val="0"/>
        <w:adjustRightInd w:val="0"/>
        <w:snapToGrid w:val="0"/>
        <w:spacing w:line="560" w:lineRule="exact"/>
        <w:ind w:firstLine="640" w:firstLineChars="200"/>
        <w:jc w:val="left"/>
        <w:textAlignment w:val="auto"/>
        <w:rPr>
          <w:rFonts w:hint="default" w:ascii="仿宋_GB2312" w:hAnsi="仿宋_GB2312" w:eastAsia="仿宋_GB2312" w:cs="仿宋_GB2312"/>
          <w:sz w:val="32"/>
          <w:szCs w:val="32"/>
          <w:lang w:val="en-US"/>
        </w:rPr>
      </w:pPr>
      <w:r>
        <w:rPr>
          <w:rFonts w:hint="eastAsia" w:ascii="仿宋_GB2312" w:hAnsi="仿宋_GB2312" w:eastAsia="仿宋_GB2312" w:cs="仿宋_GB2312"/>
          <w:color w:val="000000"/>
          <w:kern w:val="0"/>
          <w:sz w:val="32"/>
          <w:szCs w:val="32"/>
        </w:rPr>
        <w:t>机构情况</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sz w:val="32"/>
          <w:szCs w:val="32"/>
        </w:rPr>
        <w:t>11个内设机构，均为正科级建制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内设机构核定正科级领导职数11名、副科级领导职数6名</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6个派驻纪检监察组，核定正科级领导职数6名，副科级领导职数6名。</w:t>
      </w:r>
    </w:p>
    <w:p w14:paraId="30731C3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11"/>
          <w:rFonts w:hint="eastAsia" w:ascii="仿宋_GB2312" w:hAnsi="仿宋_GB2312" w:eastAsia="仿宋_GB2312" w:cs="仿宋_GB2312"/>
          <w:b w:val="0"/>
          <w:bCs w:val="0"/>
          <w:color w:val="000000"/>
          <w:sz w:val="32"/>
          <w:szCs w:val="24"/>
        </w:rPr>
      </w:pPr>
      <w:r>
        <w:rPr>
          <w:rStyle w:val="11"/>
          <w:rFonts w:hint="eastAsia" w:ascii="仿宋_GB2312" w:hAnsi="仿宋_GB2312" w:eastAsia="仿宋_GB2312" w:cs="仿宋_GB2312"/>
          <w:b w:val="0"/>
          <w:bCs w:val="0"/>
          <w:color w:val="000000"/>
          <w:sz w:val="32"/>
          <w:szCs w:val="24"/>
        </w:rPr>
        <w:t>2.直属事业单位</w:t>
      </w:r>
    </w:p>
    <w:p w14:paraId="28759198">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2020年7月，新设立了县纪检监察信息技术服务中心，正科级建制，核定事业编制12名，核定领导职数3名（正科级1名、副科级2名），隶属县纪委监委机关管理。</w:t>
      </w:r>
    </w:p>
    <w:p w14:paraId="78D6AC8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Style w:val="17"/>
          <w:rFonts w:eastAsia="黑体"/>
          <w:lang w:val="en-US" w:eastAsia="zh-CN" w:bidi="ar"/>
        </w:rPr>
      </w:pPr>
      <w:r>
        <w:rPr>
          <w:rStyle w:val="16"/>
          <w:lang w:val="en-US" w:eastAsia="zh-CN" w:bidi="ar"/>
        </w:rPr>
        <w:t>二、绩效自评工作组织开展情况</w:t>
      </w:r>
      <w:r>
        <w:rPr>
          <w:rStyle w:val="17"/>
          <w:rFonts w:eastAsia="黑体"/>
          <w:lang w:val="en-US" w:eastAsia="zh-CN" w:bidi="ar"/>
        </w:rPr>
        <w:t xml:space="preserve"> </w:t>
      </w:r>
    </w:p>
    <w:p w14:paraId="3B05799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adjustRightInd/>
        <w:snapToGrid/>
        <w:spacing w:before="0" w:beforeAutospacing="0" w:after="0" w:afterAutospacing="0" w:line="600" w:lineRule="exact"/>
        <w:ind w:left="130" w:right="0" w:firstLine="643" w:firstLineChars="200"/>
        <w:jc w:val="both"/>
        <w:textAlignment w:val="auto"/>
        <w:rPr>
          <w:rFonts w:hint="eastAsia" w:ascii="仿宋_GB2312" w:hAnsi="仿宋_GB2312" w:eastAsia="仿宋_GB2312" w:cs="仿宋_GB2312"/>
          <w:i w:val="0"/>
          <w:iCs w:val="0"/>
          <w:caps w:val="0"/>
          <w:color w:val="auto"/>
          <w:spacing w:val="0"/>
          <w:sz w:val="32"/>
          <w:szCs w:val="32"/>
          <w:highlight w:val="none"/>
          <w:shd w:val="clear" w:color="auto" w:fill="auto"/>
        </w:rPr>
      </w:pPr>
      <w:r>
        <w:rPr>
          <w:rFonts w:hint="eastAsia" w:ascii="仿宋_GB2312" w:hAnsi="仿宋_GB2312" w:eastAsia="仿宋_GB2312" w:cs="仿宋_GB2312"/>
          <w:b/>
          <w:bCs/>
          <w:i w:val="0"/>
          <w:iCs w:val="0"/>
          <w:color w:val="auto"/>
          <w:kern w:val="0"/>
          <w:sz w:val="32"/>
          <w:szCs w:val="32"/>
          <w:highlight w:val="none"/>
          <w:u w:val="none"/>
          <w:shd w:val="clear" w:color="auto" w:fill="auto"/>
          <w:lang w:val="en-US" w:eastAsia="zh-CN" w:bidi="ar"/>
        </w:rPr>
        <w:t>一是高度重视</w:t>
      </w:r>
      <w:r>
        <w:rPr>
          <w:rFonts w:hint="eastAsia" w:ascii="仿宋_GB2312" w:hAnsi="仿宋_GB2312" w:eastAsia="仿宋_GB2312" w:cs="仿宋_GB2312"/>
          <w:b/>
          <w:bCs/>
          <w:i w:val="0"/>
          <w:iCs w:val="0"/>
          <w:caps w:val="0"/>
          <w:color w:val="auto"/>
          <w:spacing w:val="0"/>
          <w:sz w:val="32"/>
          <w:szCs w:val="32"/>
          <w:highlight w:val="none"/>
          <w:shd w:val="clear" w:color="auto" w:fill="auto"/>
        </w:rPr>
        <w:t>，明确职责。</w:t>
      </w:r>
      <w:r>
        <w:rPr>
          <w:rFonts w:hint="eastAsia" w:ascii="仿宋_GB2312" w:hAnsi="仿宋_GB2312" w:eastAsia="仿宋_GB2312" w:cs="仿宋_GB2312"/>
          <w:i w:val="0"/>
          <w:iCs w:val="0"/>
          <w:caps w:val="0"/>
          <w:color w:val="auto"/>
          <w:spacing w:val="0"/>
          <w:sz w:val="32"/>
          <w:szCs w:val="32"/>
          <w:highlight w:val="none"/>
          <w:shd w:val="clear" w:color="auto" w:fill="auto"/>
        </w:rPr>
        <w:t>及时召开202</w:t>
      </w:r>
      <w:r>
        <w:rPr>
          <w:rFonts w:hint="eastAsia" w:ascii="仿宋_GB2312" w:hAnsi="仿宋_GB2312" w:eastAsia="仿宋_GB2312" w:cs="仿宋_GB2312"/>
          <w:i w:val="0"/>
          <w:iCs w:val="0"/>
          <w:caps w:val="0"/>
          <w:color w:val="auto"/>
          <w:spacing w:val="0"/>
          <w:sz w:val="32"/>
          <w:szCs w:val="32"/>
          <w:highlight w:val="none"/>
          <w:shd w:val="clear" w:color="auto" w:fill="auto"/>
          <w:lang w:val="en-US" w:eastAsia="zh-CN"/>
        </w:rPr>
        <w:t>3</w:t>
      </w:r>
      <w:r>
        <w:rPr>
          <w:rFonts w:hint="eastAsia" w:ascii="仿宋_GB2312" w:hAnsi="仿宋_GB2312" w:eastAsia="仿宋_GB2312" w:cs="仿宋_GB2312"/>
          <w:i w:val="0"/>
          <w:iCs w:val="0"/>
          <w:caps w:val="0"/>
          <w:color w:val="auto"/>
          <w:spacing w:val="0"/>
          <w:sz w:val="32"/>
          <w:szCs w:val="32"/>
          <w:highlight w:val="none"/>
          <w:shd w:val="clear" w:color="auto" w:fill="auto"/>
        </w:rPr>
        <w:t>年绩效自评工作布置会议，由分管财务领导主持，各</w:t>
      </w:r>
      <w:r>
        <w:rPr>
          <w:rFonts w:hint="eastAsia" w:ascii="仿宋_GB2312" w:hAnsi="仿宋_GB2312" w:eastAsia="仿宋_GB2312" w:cs="仿宋_GB2312"/>
          <w:i w:val="0"/>
          <w:iCs w:val="0"/>
          <w:caps w:val="0"/>
          <w:color w:val="auto"/>
          <w:spacing w:val="0"/>
          <w:sz w:val="32"/>
          <w:szCs w:val="32"/>
          <w:highlight w:val="none"/>
          <w:shd w:val="clear" w:color="auto" w:fill="auto"/>
          <w:lang w:eastAsia="zh-CN"/>
        </w:rPr>
        <w:t>派驻机构、</w:t>
      </w:r>
      <w:r>
        <w:rPr>
          <w:rFonts w:hint="eastAsia" w:ascii="仿宋_GB2312" w:hAnsi="仿宋_GB2312" w:eastAsia="仿宋_GB2312" w:cs="仿宋_GB2312"/>
          <w:i w:val="0"/>
          <w:iCs w:val="0"/>
          <w:caps w:val="0"/>
          <w:color w:val="auto"/>
          <w:spacing w:val="0"/>
          <w:sz w:val="32"/>
          <w:szCs w:val="32"/>
          <w:highlight w:val="none"/>
          <w:shd w:val="clear" w:color="auto" w:fill="auto"/>
        </w:rPr>
        <w:t>室</w:t>
      </w:r>
      <w:r>
        <w:rPr>
          <w:rFonts w:hint="eastAsia" w:ascii="仿宋_GB2312" w:hAnsi="仿宋_GB2312" w:eastAsia="仿宋_GB2312" w:cs="仿宋_GB2312"/>
          <w:i w:val="0"/>
          <w:iCs w:val="0"/>
          <w:caps w:val="0"/>
          <w:color w:val="auto"/>
          <w:spacing w:val="0"/>
          <w:sz w:val="32"/>
          <w:szCs w:val="32"/>
          <w:highlight w:val="none"/>
          <w:shd w:val="clear" w:color="auto" w:fill="auto"/>
          <w:lang w:eastAsia="zh-CN"/>
        </w:rPr>
        <w:t>（中心）</w:t>
      </w:r>
      <w:r>
        <w:rPr>
          <w:rFonts w:hint="eastAsia" w:ascii="仿宋_GB2312" w:hAnsi="仿宋_GB2312" w:eastAsia="仿宋_GB2312" w:cs="仿宋_GB2312"/>
          <w:i w:val="0"/>
          <w:iCs w:val="0"/>
          <w:caps w:val="0"/>
          <w:color w:val="auto"/>
          <w:spacing w:val="0"/>
          <w:sz w:val="32"/>
          <w:szCs w:val="32"/>
          <w:highlight w:val="none"/>
          <w:shd w:val="clear" w:color="auto" w:fill="auto"/>
        </w:rPr>
        <w:t>负责人参加，重点强调预算绩效管理工作的重要性和必要性，明确各项目绩效自评工作责任，确保自评工作有序、有效开展。</w:t>
      </w:r>
    </w:p>
    <w:p w14:paraId="30A1431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adjustRightInd/>
        <w:snapToGrid/>
        <w:spacing w:before="0" w:beforeAutospacing="0" w:after="0" w:afterAutospacing="0" w:line="600" w:lineRule="exact"/>
        <w:ind w:left="130" w:right="0" w:firstLine="635" w:firstLineChars="200"/>
        <w:jc w:val="both"/>
        <w:textAlignment w:val="auto"/>
        <w:rPr>
          <w:rFonts w:hint="eastAsia" w:ascii="仿宋_GB2312" w:hAnsi="仿宋_GB2312" w:eastAsia="仿宋_GB2312" w:cs="仿宋_GB2312"/>
          <w:i w:val="0"/>
          <w:iCs w:val="0"/>
          <w:caps w:val="0"/>
          <w:color w:val="auto"/>
          <w:spacing w:val="0"/>
          <w:w w:val="99"/>
          <w:sz w:val="32"/>
          <w:szCs w:val="32"/>
          <w:highlight w:val="none"/>
          <w:shd w:val="clear" w:color="auto" w:fill="auto"/>
        </w:rPr>
      </w:pPr>
      <w:r>
        <w:rPr>
          <w:rFonts w:hint="eastAsia" w:ascii="仿宋_GB2312" w:hAnsi="仿宋_GB2312" w:eastAsia="仿宋_GB2312" w:cs="仿宋_GB2312"/>
          <w:b/>
          <w:bCs/>
          <w:i w:val="0"/>
          <w:iCs w:val="0"/>
          <w:color w:val="auto"/>
          <w:w w:val="99"/>
          <w:kern w:val="0"/>
          <w:sz w:val="32"/>
          <w:szCs w:val="32"/>
          <w:highlight w:val="none"/>
          <w:u w:val="none"/>
          <w:shd w:val="clear" w:color="auto" w:fill="auto"/>
          <w:lang w:val="en-US" w:eastAsia="zh-CN" w:bidi="ar"/>
        </w:rPr>
        <w:t>二是全面实施，有序开展。</w:t>
      </w:r>
      <w:r>
        <w:rPr>
          <w:rFonts w:hint="eastAsia" w:ascii="仿宋_GB2312" w:hAnsi="仿宋_GB2312" w:eastAsia="仿宋_GB2312" w:cs="仿宋_GB2312"/>
          <w:i w:val="0"/>
          <w:iCs w:val="0"/>
          <w:caps w:val="0"/>
          <w:color w:val="auto"/>
          <w:spacing w:val="0"/>
          <w:w w:val="99"/>
          <w:sz w:val="32"/>
          <w:szCs w:val="32"/>
          <w:highlight w:val="none"/>
          <w:shd w:val="clear" w:color="auto" w:fill="auto"/>
        </w:rPr>
        <w:t>内设</w:t>
      </w:r>
      <w:r>
        <w:rPr>
          <w:rFonts w:hint="eastAsia" w:ascii="仿宋_GB2312" w:hAnsi="仿宋_GB2312" w:eastAsia="仿宋_GB2312" w:cs="仿宋_GB2312"/>
          <w:i w:val="0"/>
          <w:iCs w:val="0"/>
          <w:caps w:val="0"/>
          <w:color w:val="auto"/>
          <w:spacing w:val="0"/>
          <w:w w:val="99"/>
          <w:sz w:val="32"/>
          <w:szCs w:val="32"/>
          <w:highlight w:val="none"/>
          <w:shd w:val="clear" w:color="auto" w:fill="auto"/>
          <w:lang w:val="en-US" w:eastAsia="zh-CN"/>
        </w:rPr>
        <w:t>11</w:t>
      </w:r>
      <w:r>
        <w:rPr>
          <w:rFonts w:hint="eastAsia" w:ascii="仿宋_GB2312" w:hAnsi="仿宋_GB2312" w:eastAsia="仿宋_GB2312" w:cs="仿宋_GB2312"/>
          <w:i w:val="0"/>
          <w:iCs w:val="0"/>
          <w:caps w:val="0"/>
          <w:color w:val="auto"/>
          <w:spacing w:val="0"/>
          <w:w w:val="99"/>
          <w:sz w:val="32"/>
          <w:szCs w:val="32"/>
          <w:highlight w:val="none"/>
          <w:shd w:val="clear" w:color="auto" w:fill="auto"/>
        </w:rPr>
        <w:t>个机构</w:t>
      </w:r>
      <w:r>
        <w:rPr>
          <w:rFonts w:hint="eastAsia" w:ascii="仿宋_GB2312" w:hAnsi="仿宋_GB2312" w:eastAsia="仿宋_GB2312" w:cs="仿宋_GB2312"/>
          <w:i w:val="0"/>
          <w:iCs w:val="0"/>
          <w:caps w:val="0"/>
          <w:color w:val="auto"/>
          <w:spacing w:val="0"/>
          <w:w w:val="99"/>
          <w:sz w:val="32"/>
          <w:szCs w:val="32"/>
          <w:highlight w:val="none"/>
          <w:shd w:val="clear" w:color="auto" w:fill="auto"/>
          <w:lang w:eastAsia="zh-CN"/>
        </w:rPr>
        <w:t>、</w:t>
      </w:r>
      <w:r>
        <w:rPr>
          <w:rFonts w:hint="eastAsia" w:ascii="仿宋_GB2312" w:hAnsi="仿宋_GB2312" w:eastAsia="仿宋_GB2312" w:cs="仿宋_GB2312"/>
          <w:i w:val="0"/>
          <w:iCs w:val="0"/>
          <w:caps w:val="0"/>
          <w:color w:val="auto"/>
          <w:spacing w:val="0"/>
          <w:w w:val="99"/>
          <w:sz w:val="32"/>
          <w:szCs w:val="32"/>
          <w:highlight w:val="none"/>
          <w:shd w:val="clear" w:color="auto" w:fill="auto"/>
          <w:lang w:val="en-US" w:eastAsia="zh-CN"/>
        </w:rPr>
        <w:t>6个</w:t>
      </w:r>
      <w:r>
        <w:rPr>
          <w:rFonts w:hint="eastAsia" w:ascii="仿宋_GB2312" w:hAnsi="仿宋_GB2312" w:eastAsia="仿宋_GB2312" w:cs="仿宋_GB2312"/>
          <w:i w:val="0"/>
          <w:iCs w:val="0"/>
          <w:caps w:val="0"/>
          <w:color w:val="auto"/>
          <w:spacing w:val="0"/>
          <w:w w:val="99"/>
          <w:sz w:val="32"/>
          <w:szCs w:val="32"/>
          <w:highlight w:val="none"/>
          <w:shd w:val="clear" w:color="auto" w:fill="auto"/>
          <w:lang w:eastAsia="zh-CN"/>
        </w:rPr>
        <w:t>派驻纪检监察组</w:t>
      </w:r>
      <w:r>
        <w:rPr>
          <w:rFonts w:hint="eastAsia" w:ascii="仿宋_GB2312" w:hAnsi="仿宋_GB2312" w:eastAsia="仿宋_GB2312" w:cs="仿宋_GB2312"/>
          <w:i w:val="0"/>
          <w:iCs w:val="0"/>
          <w:caps w:val="0"/>
          <w:color w:val="auto"/>
          <w:spacing w:val="0"/>
          <w:w w:val="99"/>
          <w:sz w:val="32"/>
          <w:szCs w:val="32"/>
          <w:highlight w:val="none"/>
          <w:shd w:val="clear" w:color="auto" w:fill="auto"/>
          <w:lang w:val="en-US" w:eastAsia="zh-CN"/>
        </w:rPr>
        <w:t>，1</w:t>
      </w:r>
      <w:r>
        <w:rPr>
          <w:rFonts w:hint="eastAsia" w:ascii="仿宋_GB2312" w:hAnsi="仿宋_GB2312" w:eastAsia="仿宋_GB2312" w:cs="仿宋_GB2312"/>
          <w:i w:val="0"/>
          <w:iCs w:val="0"/>
          <w:caps w:val="0"/>
          <w:color w:val="auto"/>
          <w:spacing w:val="0"/>
          <w:w w:val="99"/>
          <w:sz w:val="32"/>
          <w:szCs w:val="32"/>
          <w:highlight w:val="none"/>
          <w:shd w:val="clear" w:color="auto" w:fill="auto"/>
        </w:rPr>
        <w:t>个事业单位全部纳入绩效评价，共涉及自评项目</w:t>
      </w:r>
      <w:r>
        <w:rPr>
          <w:rFonts w:hint="eastAsia" w:ascii="仿宋_GB2312" w:hAnsi="仿宋_GB2312" w:eastAsia="仿宋_GB2312" w:cs="仿宋_GB2312"/>
          <w:i w:val="0"/>
          <w:iCs w:val="0"/>
          <w:caps w:val="0"/>
          <w:color w:val="auto"/>
          <w:spacing w:val="0"/>
          <w:w w:val="99"/>
          <w:sz w:val="32"/>
          <w:szCs w:val="32"/>
          <w:highlight w:val="none"/>
          <w:shd w:val="clear" w:color="auto" w:fill="auto"/>
          <w:lang w:val="en-US" w:eastAsia="zh-CN"/>
        </w:rPr>
        <w:t>1</w:t>
      </w:r>
      <w:r>
        <w:rPr>
          <w:rFonts w:hint="eastAsia" w:ascii="仿宋_GB2312" w:hAnsi="仿宋_GB2312" w:eastAsia="仿宋_GB2312" w:cs="仿宋_GB2312"/>
          <w:i w:val="0"/>
          <w:iCs w:val="0"/>
          <w:caps w:val="0"/>
          <w:color w:val="auto"/>
          <w:spacing w:val="0"/>
          <w:w w:val="99"/>
          <w:sz w:val="32"/>
          <w:szCs w:val="32"/>
          <w:highlight w:val="none"/>
          <w:shd w:val="clear" w:color="auto" w:fill="auto"/>
        </w:rPr>
        <w:t>个，预算总金额</w:t>
      </w:r>
      <w:r>
        <w:rPr>
          <w:rFonts w:hint="eastAsia" w:ascii="仿宋_GB2312" w:hAnsi="仿宋_GB2312" w:eastAsia="仿宋_GB2312" w:cs="仿宋_GB2312"/>
          <w:i w:val="0"/>
          <w:iCs w:val="0"/>
          <w:caps w:val="0"/>
          <w:color w:val="auto"/>
          <w:spacing w:val="0"/>
          <w:w w:val="99"/>
          <w:sz w:val="32"/>
          <w:szCs w:val="32"/>
          <w:highlight w:val="none"/>
          <w:shd w:val="clear" w:color="auto" w:fill="auto"/>
          <w:lang w:val="en-US" w:eastAsia="zh-CN"/>
        </w:rPr>
        <w:t>1059.32</w:t>
      </w:r>
      <w:r>
        <w:rPr>
          <w:rFonts w:hint="eastAsia" w:ascii="仿宋_GB2312" w:hAnsi="仿宋_GB2312" w:eastAsia="仿宋_GB2312" w:cs="仿宋_GB2312"/>
          <w:i w:val="0"/>
          <w:iCs w:val="0"/>
          <w:caps w:val="0"/>
          <w:color w:val="auto"/>
          <w:spacing w:val="0"/>
          <w:w w:val="99"/>
          <w:sz w:val="32"/>
          <w:szCs w:val="32"/>
          <w:highlight w:val="none"/>
          <w:shd w:val="clear" w:color="auto" w:fill="auto"/>
        </w:rPr>
        <w:t>万元，实际执行数</w:t>
      </w:r>
      <w:r>
        <w:rPr>
          <w:rFonts w:hint="eastAsia" w:ascii="仿宋_GB2312" w:hAnsi="仿宋_GB2312" w:eastAsia="仿宋_GB2312" w:cs="仿宋_GB2312"/>
          <w:i w:val="0"/>
          <w:iCs w:val="0"/>
          <w:caps w:val="0"/>
          <w:color w:val="auto"/>
          <w:spacing w:val="0"/>
          <w:w w:val="99"/>
          <w:sz w:val="32"/>
          <w:szCs w:val="32"/>
          <w:highlight w:val="none"/>
          <w:shd w:val="clear" w:color="auto" w:fill="auto"/>
          <w:lang w:val="en-US" w:eastAsia="zh-CN"/>
        </w:rPr>
        <w:t>1268.61</w:t>
      </w:r>
      <w:r>
        <w:rPr>
          <w:rFonts w:hint="eastAsia" w:ascii="仿宋_GB2312" w:hAnsi="仿宋_GB2312" w:eastAsia="仿宋_GB2312" w:cs="仿宋_GB2312"/>
          <w:i w:val="0"/>
          <w:iCs w:val="0"/>
          <w:caps w:val="0"/>
          <w:color w:val="auto"/>
          <w:spacing w:val="0"/>
          <w:w w:val="99"/>
          <w:sz w:val="32"/>
          <w:szCs w:val="32"/>
          <w:highlight w:val="none"/>
          <w:shd w:val="clear" w:color="auto" w:fill="auto"/>
        </w:rPr>
        <w:t>万元，项目资金</w:t>
      </w:r>
      <w:r>
        <w:rPr>
          <w:rFonts w:hint="eastAsia" w:ascii="仿宋_GB2312" w:hAnsi="仿宋_GB2312" w:eastAsia="仿宋_GB2312" w:cs="仿宋_GB2312"/>
          <w:i w:val="0"/>
          <w:iCs w:val="0"/>
          <w:caps w:val="0"/>
          <w:color w:val="auto"/>
          <w:spacing w:val="0"/>
          <w:w w:val="99"/>
          <w:sz w:val="32"/>
          <w:szCs w:val="32"/>
          <w:highlight w:val="none"/>
          <w:shd w:val="clear" w:color="auto" w:fill="auto"/>
          <w:lang w:eastAsia="zh-CN"/>
        </w:rPr>
        <w:t>全部</w:t>
      </w:r>
      <w:r>
        <w:rPr>
          <w:rFonts w:hint="eastAsia" w:ascii="仿宋_GB2312" w:hAnsi="仿宋_GB2312" w:eastAsia="仿宋_GB2312" w:cs="仿宋_GB2312"/>
          <w:i w:val="0"/>
          <w:iCs w:val="0"/>
          <w:caps w:val="0"/>
          <w:color w:val="auto"/>
          <w:spacing w:val="0"/>
          <w:w w:val="99"/>
          <w:sz w:val="32"/>
          <w:szCs w:val="32"/>
          <w:highlight w:val="none"/>
          <w:shd w:val="clear" w:color="auto" w:fill="auto"/>
        </w:rPr>
        <w:t>执行完毕</w:t>
      </w:r>
      <w:r>
        <w:rPr>
          <w:rFonts w:hint="eastAsia" w:ascii="仿宋_GB2312" w:hAnsi="仿宋_GB2312" w:eastAsia="仿宋_GB2312" w:cs="仿宋_GB2312"/>
          <w:i w:val="0"/>
          <w:iCs w:val="0"/>
          <w:caps w:val="0"/>
          <w:color w:val="auto"/>
          <w:spacing w:val="0"/>
          <w:w w:val="99"/>
          <w:sz w:val="32"/>
          <w:szCs w:val="32"/>
          <w:highlight w:val="none"/>
          <w:shd w:val="clear" w:color="auto" w:fill="auto"/>
          <w:lang w:eastAsia="zh-CN"/>
        </w:rPr>
        <w:t>，</w:t>
      </w:r>
      <w:r>
        <w:rPr>
          <w:rFonts w:hint="eastAsia" w:ascii="仿宋_GB2312" w:hAnsi="仿宋_GB2312" w:eastAsia="仿宋_GB2312" w:cs="仿宋_GB2312"/>
          <w:i w:val="0"/>
          <w:iCs w:val="0"/>
          <w:caps w:val="0"/>
          <w:color w:val="auto"/>
          <w:spacing w:val="0"/>
          <w:w w:val="99"/>
          <w:sz w:val="32"/>
          <w:szCs w:val="32"/>
          <w:highlight w:val="none"/>
          <w:shd w:val="clear" w:color="auto" w:fill="auto"/>
        </w:rPr>
        <w:t>项目内容涉及</w:t>
      </w:r>
      <w:r>
        <w:rPr>
          <w:rFonts w:hint="eastAsia" w:ascii="仿宋_GB2312" w:hAnsi="仿宋_GB2312" w:eastAsia="仿宋_GB2312" w:cs="仿宋_GB2312"/>
          <w:i w:val="0"/>
          <w:iCs w:val="0"/>
          <w:caps w:val="0"/>
          <w:color w:val="auto"/>
          <w:spacing w:val="0"/>
          <w:w w:val="99"/>
          <w:sz w:val="32"/>
          <w:szCs w:val="32"/>
          <w:highlight w:val="none"/>
          <w:shd w:val="clear" w:color="auto" w:fill="auto"/>
          <w:lang w:eastAsia="zh-CN"/>
        </w:rPr>
        <w:t>中央转移支付等</w:t>
      </w:r>
      <w:r>
        <w:rPr>
          <w:rFonts w:hint="eastAsia" w:ascii="仿宋_GB2312" w:hAnsi="仿宋_GB2312" w:eastAsia="仿宋_GB2312" w:cs="仿宋_GB2312"/>
          <w:i w:val="0"/>
          <w:iCs w:val="0"/>
          <w:caps w:val="0"/>
          <w:color w:val="auto"/>
          <w:spacing w:val="0"/>
          <w:w w:val="99"/>
          <w:sz w:val="32"/>
          <w:szCs w:val="32"/>
          <w:highlight w:val="none"/>
          <w:shd w:val="clear" w:color="auto" w:fill="auto"/>
        </w:rPr>
        <w:t>方面。根据项目的产出数量、质量、时效、成本，以及经济效益、社会效益、生态效益、可持续影响、服务对象满意度等</w:t>
      </w:r>
      <w:r>
        <w:rPr>
          <w:rFonts w:hint="eastAsia" w:ascii="仿宋_GB2312" w:hAnsi="仿宋_GB2312" w:eastAsia="仿宋_GB2312" w:cs="仿宋_GB2312"/>
          <w:i w:val="0"/>
          <w:iCs w:val="0"/>
          <w:caps w:val="0"/>
          <w:color w:val="auto"/>
          <w:spacing w:val="0"/>
          <w:w w:val="99"/>
          <w:sz w:val="32"/>
          <w:szCs w:val="32"/>
          <w:highlight w:val="none"/>
          <w:shd w:val="clear" w:color="auto" w:fill="auto"/>
          <w:lang w:eastAsia="zh-CN"/>
        </w:rPr>
        <w:t>，</w:t>
      </w:r>
      <w:r>
        <w:rPr>
          <w:rFonts w:hint="eastAsia" w:ascii="仿宋_GB2312" w:hAnsi="仿宋_GB2312" w:eastAsia="仿宋_GB2312" w:cs="仿宋_GB2312"/>
          <w:i w:val="0"/>
          <w:iCs w:val="0"/>
          <w:caps w:val="0"/>
          <w:color w:val="auto"/>
          <w:spacing w:val="0"/>
          <w:w w:val="99"/>
          <w:sz w:val="32"/>
          <w:szCs w:val="32"/>
          <w:highlight w:val="none"/>
          <w:shd w:val="clear" w:color="auto" w:fill="auto"/>
        </w:rPr>
        <w:t>设定评价指标，预算执行率和一级指标权重统一设置为：预算执行率10分、产出指标50分、效益指标30分、服务对象满意度指标10分。</w:t>
      </w:r>
    </w:p>
    <w:p w14:paraId="169630E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Style w:val="17"/>
          <w:rFonts w:eastAsia="黑体"/>
          <w:lang w:val="en-US" w:eastAsia="zh-CN" w:bidi="ar"/>
        </w:rPr>
      </w:pPr>
      <w:r>
        <w:rPr>
          <w:rStyle w:val="16"/>
          <w:lang w:val="en-US" w:eastAsia="zh-CN" w:bidi="ar"/>
        </w:rPr>
        <w:t>三、部门整体支出绩效自评情况分析</w:t>
      </w:r>
      <w:r>
        <w:rPr>
          <w:rStyle w:val="17"/>
          <w:rFonts w:eastAsia="黑体"/>
          <w:lang w:val="en-US" w:eastAsia="zh-CN" w:bidi="ar"/>
        </w:rPr>
        <w:t xml:space="preserve"> </w:t>
      </w:r>
    </w:p>
    <w:p w14:paraId="66FF8AB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Autospacing="0" w:line="560" w:lineRule="exact"/>
        <w:ind w:right="0" w:firstLine="640" w:firstLineChars="200"/>
        <w:jc w:val="left"/>
        <w:textAlignment w:val="auto"/>
        <w:rPr>
          <w:rFonts w:hint="eastAsia" w:ascii="仿宋_GB2312" w:hAnsi="仿宋_GB2312" w:eastAsia="仿宋_GB2312" w:cs="仿宋_GB2312"/>
          <w:i w:val="0"/>
          <w:iCs w:val="0"/>
          <w:caps w:val="0"/>
          <w:color w:val="000000"/>
          <w:spacing w:val="0"/>
          <w:kern w:val="0"/>
          <w:sz w:val="32"/>
          <w:szCs w:val="32"/>
          <w:highlight w:val="none"/>
          <w:shd w:val="clear" w:fill="FFFFFF"/>
          <w:lang w:val="en-US" w:eastAsia="zh-CN" w:bidi="ar"/>
        </w:rPr>
      </w:pPr>
      <w:r>
        <w:rPr>
          <w:rFonts w:hint="eastAsia" w:ascii="仿宋_GB2312" w:hAnsi="仿宋_GB2312" w:eastAsia="仿宋_GB2312" w:cs="仿宋_GB2312"/>
          <w:i w:val="0"/>
          <w:iCs w:val="0"/>
          <w:caps w:val="0"/>
          <w:color w:val="000000"/>
          <w:spacing w:val="0"/>
          <w:kern w:val="0"/>
          <w:sz w:val="32"/>
          <w:szCs w:val="32"/>
          <w:highlight w:val="none"/>
          <w:shd w:val="clear" w:fill="FFFFFF"/>
          <w:lang w:val="en-US" w:eastAsia="zh-CN" w:bidi="ar"/>
        </w:rPr>
        <w:t>部门整体综合评价得分99分。</w:t>
      </w:r>
    </w:p>
    <w:p w14:paraId="45C9B92C">
      <w:pPr>
        <w:keepNext w:val="0"/>
        <w:keepLines w:val="0"/>
        <w:pageBreakBefore w:val="0"/>
        <w:widowControl w:val="0"/>
        <w:numPr>
          <w:ilvl w:val="0"/>
          <w:numId w:val="0"/>
        </w:numPr>
        <w:shd w:val="clear"/>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b w:val="0"/>
          <w:bCs w:val="0"/>
          <w:i w:val="0"/>
          <w:iCs w:val="0"/>
          <w:color w:val="000000"/>
          <w:kern w:val="0"/>
          <w:sz w:val="32"/>
          <w:szCs w:val="32"/>
          <w:u w:val="none"/>
          <w:lang w:val="en-US" w:eastAsia="zh-CN" w:bidi="ar"/>
        </w:rPr>
      </w:pPr>
      <w:r>
        <w:rPr>
          <w:rFonts w:hint="eastAsia" w:ascii="楷体_GB2312" w:hAnsi="楷体_GB2312" w:eastAsia="楷体_GB2312" w:cs="楷体_GB2312"/>
          <w:b w:val="0"/>
          <w:bCs w:val="0"/>
          <w:i w:val="0"/>
          <w:iCs w:val="0"/>
          <w:color w:val="000000"/>
          <w:kern w:val="0"/>
          <w:sz w:val="32"/>
          <w:szCs w:val="32"/>
          <w:u w:val="none"/>
          <w:lang w:val="en-US" w:eastAsia="zh-CN" w:bidi="ar"/>
        </w:rPr>
        <w:t>（一）部门决算情况</w:t>
      </w:r>
    </w:p>
    <w:p w14:paraId="4D5B6A6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adjustRightInd/>
        <w:snapToGrid/>
        <w:spacing w:before="0" w:beforeAutospacing="0" w:afterAutospacing="0" w:line="600" w:lineRule="exact"/>
        <w:ind w:right="0" w:firstLine="640" w:firstLineChars="200"/>
        <w:jc w:val="left"/>
        <w:textAlignment w:val="auto"/>
        <w:rPr>
          <w:rFonts w:hint="eastAsia" w:ascii="仿宋_GB2312" w:hAnsi="仿宋_GB2312" w:eastAsia="仿宋_GB2312" w:cs="仿宋_GB2312"/>
          <w:i w:val="0"/>
          <w:iCs w:val="0"/>
          <w:caps w:val="0"/>
          <w:color w:val="auto"/>
          <w:spacing w:val="0"/>
          <w:kern w:val="0"/>
          <w:sz w:val="32"/>
          <w:szCs w:val="32"/>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32"/>
          <w:szCs w:val="32"/>
          <w:highlight w:val="none"/>
          <w:shd w:val="clear" w:color="auto" w:fill="FFFFFF"/>
          <w:lang w:val="en-US" w:eastAsia="zh-CN" w:bidi="ar"/>
        </w:rPr>
        <w:t>2023年部门预算收入1268.61万元，其中：一般公共预算收入</w:t>
      </w:r>
      <w:r>
        <w:rPr>
          <w:rFonts w:hint="eastAsia" w:ascii="仿宋_GB2312" w:hAnsi="仿宋_GB2312" w:eastAsia="仿宋_GB2312" w:cs="仿宋_GB2312"/>
          <w:i w:val="0"/>
          <w:iCs w:val="0"/>
          <w:caps w:val="0"/>
          <w:color w:val="auto"/>
          <w:spacing w:val="0"/>
          <w:w w:val="99"/>
          <w:sz w:val="32"/>
          <w:szCs w:val="32"/>
          <w:highlight w:val="none"/>
          <w:shd w:val="clear" w:color="auto" w:fill="FFFFFF"/>
          <w:lang w:val="en-US" w:eastAsia="zh-CN"/>
        </w:rPr>
        <w:t>1268.61</w:t>
      </w:r>
      <w:r>
        <w:rPr>
          <w:rFonts w:hint="eastAsia" w:ascii="仿宋_GB2312" w:hAnsi="仿宋_GB2312" w:eastAsia="仿宋_GB2312" w:cs="仿宋_GB2312"/>
          <w:i w:val="0"/>
          <w:iCs w:val="0"/>
          <w:caps w:val="0"/>
          <w:color w:val="auto"/>
          <w:spacing w:val="0"/>
          <w:kern w:val="0"/>
          <w:sz w:val="32"/>
          <w:szCs w:val="32"/>
          <w:highlight w:val="none"/>
          <w:shd w:val="clear" w:color="auto" w:fill="FFFFFF"/>
          <w:lang w:val="en-US" w:eastAsia="zh-CN" w:bidi="ar"/>
        </w:rPr>
        <w:t>万元。</w:t>
      </w:r>
    </w:p>
    <w:p w14:paraId="4418950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adjustRightInd/>
        <w:snapToGrid/>
        <w:spacing w:before="0" w:beforeAutospacing="0" w:afterAutospacing="0" w:line="600" w:lineRule="exact"/>
        <w:ind w:right="0" w:firstLine="640" w:firstLineChars="200"/>
        <w:jc w:val="left"/>
        <w:textAlignment w:val="auto"/>
        <w:rPr>
          <w:rFonts w:hint="eastAsia" w:ascii="仿宋_GB2312" w:hAnsi="仿宋_GB2312" w:eastAsia="仿宋_GB2312" w:cs="仿宋_GB2312"/>
          <w:i w:val="0"/>
          <w:iCs w:val="0"/>
          <w:caps w:val="0"/>
          <w:color w:val="auto"/>
          <w:spacing w:val="0"/>
          <w:kern w:val="0"/>
          <w:sz w:val="32"/>
          <w:szCs w:val="32"/>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32"/>
          <w:szCs w:val="32"/>
          <w:highlight w:val="none"/>
          <w:shd w:val="clear" w:color="auto" w:fill="FFFFFF"/>
          <w:lang w:val="en-US" w:eastAsia="zh-CN" w:bidi="ar"/>
        </w:rPr>
        <w:t>2023年部门预算支出</w:t>
      </w:r>
      <w:r>
        <w:rPr>
          <w:rFonts w:hint="eastAsia" w:ascii="仿宋_GB2312" w:hAnsi="仿宋_GB2312" w:eastAsia="仿宋_GB2312" w:cs="仿宋_GB2312"/>
          <w:i w:val="0"/>
          <w:iCs w:val="0"/>
          <w:caps w:val="0"/>
          <w:color w:val="auto"/>
          <w:spacing w:val="0"/>
          <w:w w:val="99"/>
          <w:sz w:val="32"/>
          <w:szCs w:val="32"/>
          <w:highlight w:val="none"/>
          <w:shd w:val="clear" w:color="auto" w:fill="FFFFFF"/>
          <w:lang w:val="en-US" w:eastAsia="zh-CN"/>
        </w:rPr>
        <w:t>1268.61</w:t>
      </w:r>
      <w:r>
        <w:rPr>
          <w:rFonts w:hint="eastAsia" w:ascii="仿宋_GB2312" w:hAnsi="仿宋_GB2312" w:eastAsia="仿宋_GB2312" w:cs="仿宋_GB2312"/>
          <w:i w:val="0"/>
          <w:iCs w:val="0"/>
          <w:caps w:val="0"/>
          <w:color w:val="auto"/>
          <w:spacing w:val="0"/>
          <w:kern w:val="0"/>
          <w:sz w:val="32"/>
          <w:szCs w:val="32"/>
          <w:highlight w:val="none"/>
          <w:shd w:val="clear" w:color="auto" w:fill="FFFFFF"/>
          <w:lang w:val="en-US" w:eastAsia="zh-CN" w:bidi="ar"/>
        </w:rPr>
        <w:t>万元。其中：基本支出</w:t>
      </w:r>
      <w:r>
        <w:rPr>
          <w:rFonts w:hint="eastAsia" w:ascii="仿宋_GB2312" w:hAnsi="仿宋_GB2312" w:eastAsia="仿宋_GB2312" w:cs="仿宋_GB2312"/>
          <w:i w:val="0"/>
          <w:iCs w:val="0"/>
          <w:caps w:val="0"/>
          <w:color w:val="auto"/>
          <w:spacing w:val="0"/>
          <w:w w:val="99"/>
          <w:sz w:val="32"/>
          <w:szCs w:val="32"/>
          <w:highlight w:val="none"/>
          <w:shd w:val="clear" w:color="auto" w:fill="FFFFFF"/>
          <w:lang w:val="en-US" w:eastAsia="zh-CN"/>
        </w:rPr>
        <w:t>1268.61</w:t>
      </w:r>
      <w:r>
        <w:rPr>
          <w:rFonts w:hint="eastAsia" w:ascii="仿宋_GB2312" w:hAnsi="仿宋_GB2312" w:eastAsia="仿宋_GB2312" w:cs="仿宋_GB2312"/>
          <w:i w:val="0"/>
          <w:iCs w:val="0"/>
          <w:caps w:val="0"/>
          <w:color w:val="auto"/>
          <w:spacing w:val="0"/>
          <w:kern w:val="0"/>
          <w:sz w:val="32"/>
          <w:szCs w:val="32"/>
          <w:highlight w:val="none"/>
          <w:shd w:val="clear" w:color="auto" w:fill="FFFFFF"/>
          <w:lang w:val="en-US" w:eastAsia="zh-CN" w:bidi="ar"/>
        </w:rPr>
        <w:t>万元。</w:t>
      </w:r>
    </w:p>
    <w:p w14:paraId="61A9C11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kinsoku/>
        <w:wordWrap/>
        <w:overflowPunct/>
        <w:topLinePunct w:val="0"/>
        <w:autoSpaceDE/>
        <w:autoSpaceDN/>
        <w:bidi w:val="0"/>
        <w:adjustRightInd/>
        <w:snapToGrid/>
        <w:spacing w:before="0" w:beforeAutospacing="0" w:afterAutospacing="0" w:line="600" w:lineRule="exact"/>
        <w:ind w:left="0" w:right="0" w:firstLine="640" w:firstLineChars="200"/>
        <w:jc w:val="left"/>
        <w:textAlignment w:val="auto"/>
        <w:rPr>
          <w:rFonts w:hint="eastAsia" w:ascii="仿宋_GB2312" w:hAnsi="仿宋_GB2312" w:eastAsia="仿宋_GB2312" w:cs="仿宋_GB2312"/>
          <w:i w:val="0"/>
          <w:iCs w:val="0"/>
          <w:caps w:val="0"/>
          <w:color w:val="auto"/>
          <w:spacing w:val="0"/>
          <w:kern w:val="0"/>
          <w:sz w:val="32"/>
          <w:szCs w:val="32"/>
          <w:highlight w:val="none"/>
          <w:shd w:val="clear" w:color="auto" w:fill="FFFFFF"/>
          <w:lang w:val="en-US" w:eastAsia="zh-CN" w:bidi="ar"/>
        </w:rPr>
      </w:pPr>
      <w:r>
        <w:rPr>
          <w:rFonts w:hint="eastAsia" w:ascii="仿宋_GB2312" w:hAnsi="仿宋_GB2312" w:eastAsia="仿宋_GB2312" w:cs="仿宋_GB2312"/>
          <w:i w:val="0"/>
          <w:iCs w:val="0"/>
          <w:caps w:val="0"/>
          <w:color w:val="auto"/>
          <w:spacing w:val="0"/>
          <w:kern w:val="0"/>
          <w:sz w:val="32"/>
          <w:szCs w:val="32"/>
          <w:highlight w:val="none"/>
          <w:shd w:val="clear" w:color="auto" w:fill="FFFFFF"/>
          <w:lang w:val="en-US" w:eastAsia="zh-CN" w:bidi="ar"/>
        </w:rPr>
        <w:t>决算与预算差异情况：2023年决算总收入</w:t>
      </w:r>
      <w:r>
        <w:rPr>
          <w:rFonts w:hint="eastAsia" w:ascii="仿宋_GB2312" w:hAnsi="仿宋_GB2312" w:eastAsia="仿宋_GB2312" w:cs="仿宋_GB2312"/>
          <w:i w:val="0"/>
          <w:iCs w:val="0"/>
          <w:caps w:val="0"/>
          <w:color w:val="auto"/>
          <w:spacing w:val="0"/>
          <w:w w:val="99"/>
          <w:sz w:val="32"/>
          <w:szCs w:val="32"/>
          <w:highlight w:val="none"/>
          <w:shd w:val="clear" w:color="auto" w:fill="FFFFFF"/>
          <w:lang w:val="en-US" w:eastAsia="zh-CN"/>
        </w:rPr>
        <w:t>1268.61</w:t>
      </w:r>
      <w:r>
        <w:rPr>
          <w:rFonts w:hint="eastAsia" w:ascii="仿宋_GB2312" w:hAnsi="仿宋_GB2312" w:eastAsia="仿宋_GB2312" w:cs="仿宋_GB2312"/>
          <w:i w:val="0"/>
          <w:iCs w:val="0"/>
          <w:caps w:val="0"/>
          <w:color w:val="auto"/>
          <w:spacing w:val="0"/>
          <w:kern w:val="0"/>
          <w:sz w:val="32"/>
          <w:szCs w:val="32"/>
          <w:highlight w:val="none"/>
          <w:shd w:val="clear" w:color="auto" w:fill="FFFFFF"/>
          <w:lang w:val="en-US" w:eastAsia="zh-CN" w:bidi="ar"/>
        </w:rPr>
        <w:t>万元，较预算增加209.29万元，总支出</w:t>
      </w:r>
      <w:r>
        <w:rPr>
          <w:rFonts w:hint="eastAsia" w:ascii="仿宋_GB2312" w:hAnsi="仿宋_GB2312" w:eastAsia="仿宋_GB2312" w:cs="仿宋_GB2312"/>
          <w:i w:val="0"/>
          <w:iCs w:val="0"/>
          <w:caps w:val="0"/>
          <w:color w:val="auto"/>
          <w:spacing w:val="0"/>
          <w:w w:val="99"/>
          <w:sz w:val="32"/>
          <w:szCs w:val="32"/>
          <w:highlight w:val="none"/>
          <w:shd w:val="clear" w:color="auto" w:fill="FFFFFF"/>
          <w:lang w:val="en-US" w:eastAsia="zh-CN"/>
        </w:rPr>
        <w:t>1268.61</w:t>
      </w:r>
      <w:r>
        <w:rPr>
          <w:rFonts w:hint="eastAsia" w:ascii="仿宋_GB2312" w:hAnsi="仿宋_GB2312" w:eastAsia="仿宋_GB2312" w:cs="仿宋_GB2312"/>
          <w:i w:val="0"/>
          <w:iCs w:val="0"/>
          <w:caps w:val="0"/>
          <w:color w:val="auto"/>
          <w:spacing w:val="0"/>
          <w:kern w:val="0"/>
          <w:sz w:val="32"/>
          <w:szCs w:val="32"/>
          <w:highlight w:val="none"/>
          <w:shd w:val="clear" w:color="auto" w:fill="FFFFFF"/>
          <w:lang w:val="en-US" w:eastAsia="zh-CN" w:bidi="ar"/>
        </w:rPr>
        <w:t>万元，其中：基本支出</w:t>
      </w:r>
      <w:r>
        <w:rPr>
          <w:rFonts w:hint="eastAsia" w:ascii="仿宋_GB2312" w:hAnsi="仿宋_GB2312" w:eastAsia="仿宋_GB2312" w:cs="仿宋_GB2312"/>
          <w:i w:val="0"/>
          <w:iCs w:val="0"/>
          <w:caps w:val="0"/>
          <w:color w:val="auto"/>
          <w:spacing w:val="0"/>
          <w:w w:val="99"/>
          <w:sz w:val="32"/>
          <w:szCs w:val="32"/>
          <w:highlight w:val="none"/>
          <w:shd w:val="clear" w:color="auto" w:fill="FFFFFF"/>
          <w:lang w:val="en-US" w:eastAsia="zh-CN"/>
        </w:rPr>
        <w:t>1268.61</w:t>
      </w:r>
      <w:r>
        <w:rPr>
          <w:rFonts w:hint="eastAsia" w:ascii="仿宋_GB2312" w:hAnsi="仿宋_GB2312" w:eastAsia="仿宋_GB2312" w:cs="仿宋_GB2312"/>
          <w:i w:val="0"/>
          <w:iCs w:val="0"/>
          <w:caps w:val="0"/>
          <w:color w:val="auto"/>
          <w:spacing w:val="0"/>
          <w:kern w:val="0"/>
          <w:sz w:val="32"/>
          <w:szCs w:val="32"/>
          <w:highlight w:val="none"/>
          <w:shd w:val="clear" w:color="auto" w:fill="FFFFFF"/>
          <w:lang w:val="en-US" w:eastAsia="zh-CN" w:bidi="ar"/>
        </w:rPr>
        <w:t>万元。</w:t>
      </w:r>
    </w:p>
    <w:p w14:paraId="11610EC2">
      <w:pPr>
        <w:keepNext w:val="0"/>
        <w:keepLines w:val="0"/>
        <w:pageBreakBefore w:val="0"/>
        <w:widowControl w:val="0"/>
        <w:numPr>
          <w:ilvl w:val="0"/>
          <w:numId w:val="1"/>
        </w:numPr>
        <w:shd w:val="clear"/>
        <w:kinsoku/>
        <w:wordWrap/>
        <w:overflowPunct/>
        <w:topLinePunct w:val="0"/>
        <w:autoSpaceDE/>
        <w:autoSpaceDN/>
        <w:bidi w:val="0"/>
        <w:adjustRightInd/>
        <w:snapToGrid/>
        <w:spacing w:line="560" w:lineRule="exact"/>
        <w:ind w:left="-13" w:leftChars="0" w:firstLine="643" w:firstLineChars="0"/>
        <w:textAlignment w:val="auto"/>
        <w:rPr>
          <w:rFonts w:hint="eastAsia" w:ascii="楷体_GB2312" w:hAnsi="楷体_GB2312" w:eastAsia="楷体_GB2312" w:cs="楷体_GB2312"/>
          <w:b w:val="0"/>
          <w:bCs w:val="0"/>
          <w:i w:val="0"/>
          <w:iCs w:val="0"/>
          <w:color w:val="000000"/>
          <w:kern w:val="0"/>
          <w:sz w:val="32"/>
          <w:szCs w:val="32"/>
          <w:u w:val="none"/>
          <w:lang w:val="en-US" w:eastAsia="zh-CN" w:bidi="ar"/>
        </w:rPr>
      </w:pPr>
      <w:r>
        <w:rPr>
          <w:rFonts w:hint="eastAsia" w:ascii="楷体_GB2312" w:hAnsi="楷体_GB2312" w:eastAsia="楷体_GB2312" w:cs="楷体_GB2312"/>
          <w:b w:val="0"/>
          <w:bCs w:val="0"/>
          <w:i w:val="0"/>
          <w:iCs w:val="0"/>
          <w:color w:val="000000"/>
          <w:kern w:val="0"/>
          <w:sz w:val="32"/>
          <w:szCs w:val="32"/>
          <w:u w:val="none"/>
          <w:lang w:val="en-US" w:eastAsia="zh-CN" w:bidi="ar"/>
        </w:rPr>
        <w:t>总体绩效目标完成情况分析</w:t>
      </w:r>
    </w:p>
    <w:p w14:paraId="57E622EF">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200" w:firstLine="640" w:firstLineChars="200"/>
        <w:textAlignment w:val="auto"/>
        <w:rPr>
          <w:rFonts w:ascii="Times New Roman" w:hAnsi="Times New Roman" w:eastAsia="仿宋_GB2312"/>
          <w:kern w:val="0"/>
          <w:sz w:val="32"/>
          <w:szCs w:val="32"/>
          <w:highlight w:val="none"/>
        </w:rPr>
      </w:pPr>
      <w:r>
        <w:rPr>
          <w:rFonts w:hint="eastAsia" w:ascii="Times New Roman" w:hAnsi="Times New Roman" w:eastAsia="仿宋_GB2312"/>
          <w:kern w:val="0"/>
          <w:sz w:val="32"/>
          <w:szCs w:val="32"/>
          <w:lang w:val="en-US" w:eastAsia="zh-CN"/>
        </w:rPr>
        <w:t>2023年</w:t>
      </w:r>
      <w:r>
        <w:rPr>
          <w:rFonts w:ascii="Times New Roman" w:hAnsi="Times New Roman" w:eastAsia="仿宋_GB2312" w:cs="Times New Roman"/>
          <w:kern w:val="0"/>
          <w:sz w:val="32"/>
          <w:szCs w:val="32"/>
        </w:rPr>
        <w:t>共受理信访举报</w:t>
      </w:r>
      <w:r>
        <w:rPr>
          <w:rFonts w:hint="eastAsia" w:ascii="Times New Roman" w:hAnsi="Times New Roman" w:eastAsia="仿宋_GB2312" w:cs="Times New Roman"/>
          <w:kern w:val="0"/>
          <w:sz w:val="32"/>
          <w:szCs w:val="32"/>
          <w:lang w:val="en-US" w:eastAsia="zh-CN"/>
        </w:rPr>
        <w:t>165</w:t>
      </w:r>
      <w:r>
        <w:rPr>
          <w:rFonts w:ascii="Times New Roman" w:hAnsi="Times New Roman" w:eastAsia="仿宋_GB2312" w:cs="Times New Roman"/>
          <w:kern w:val="0"/>
          <w:sz w:val="32"/>
          <w:szCs w:val="32"/>
        </w:rPr>
        <w:t>件，同比（下同）增长</w:t>
      </w:r>
      <w:r>
        <w:rPr>
          <w:rFonts w:hint="eastAsia" w:ascii="Times New Roman" w:hAnsi="Times New Roman" w:eastAsia="仿宋_GB2312" w:cs="Times New Roman"/>
          <w:kern w:val="0"/>
          <w:sz w:val="32"/>
          <w:szCs w:val="32"/>
          <w:lang w:val="en-US" w:eastAsia="zh-CN"/>
        </w:rPr>
        <w:t>26</w:t>
      </w:r>
      <w:r>
        <w:rPr>
          <w:rFonts w:ascii="Times New Roman" w:hAnsi="Times New Roman" w:eastAsia="仿宋_GB2312" w:cs="Times New Roman"/>
          <w:kern w:val="0"/>
          <w:sz w:val="32"/>
          <w:szCs w:val="32"/>
        </w:rPr>
        <w:t>%；</w:t>
      </w:r>
      <w:r>
        <w:rPr>
          <w:rFonts w:ascii="Times New Roman" w:hAnsi="Times New Roman" w:eastAsia="仿宋_GB2312" w:cs="Times New Roman"/>
          <w:kern w:val="0"/>
          <w:sz w:val="32"/>
          <w:szCs w:val="32"/>
          <w:lang w:val="en-US" w:eastAsia="zh-CN"/>
        </w:rPr>
        <w:t>处置问题线索159件，增长12%；立案87件，增长7.4%；处分91人，增长18.2%；采取留置措施1人，移送检察机关3人。</w:t>
      </w:r>
      <w:r>
        <w:rPr>
          <w:rFonts w:hint="eastAsia" w:ascii="Times New Roman" w:hAnsi="Times New Roman" w:eastAsia="仿宋_GB2312" w:cs="Times New Roman"/>
          <w:kern w:val="0"/>
          <w:sz w:val="32"/>
          <w:szCs w:val="32"/>
          <w:lang w:eastAsia="zh-CN"/>
        </w:rPr>
        <w:t>其中，查处县管干部</w:t>
      </w:r>
      <w:r>
        <w:rPr>
          <w:rFonts w:hint="eastAsia" w:ascii="Times New Roman" w:hAnsi="Times New Roman" w:eastAsia="仿宋_GB2312" w:cs="Times New Roman"/>
          <w:kern w:val="0"/>
          <w:sz w:val="32"/>
          <w:szCs w:val="32"/>
          <w:lang w:val="en-US" w:eastAsia="zh-CN"/>
        </w:rPr>
        <w:t>42</w:t>
      </w:r>
      <w:r>
        <w:rPr>
          <w:rFonts w:hint="eastAsia" w:ascii="Times New Roman" w:hAnsi="Times New Roman" w:eastAsia="仿宋_GB2312" w:cs="Times New Roman"/>
          <w:kern w:val="0"/>
          <w:sz w:val="32"/>
          <w:szCs w:val="32"/>
          <w:lang w:eastAsia="zh-CN"/>
        </w:rPr>
        <w:t>人，立案2</w:t>
      </w:r>
      <w:r>
        <w:rPr>
          <w:rFonts w:hint="eastAsia" w:ascii="Times New Roman" w:hAnsi="Times New Roman" w:eastAsia="仿宋_GB2312" w:cs="Times New Roman"/>
          <w:kern w:val="0"/>
          <w:sz w:val="32"/>
          <w:szCs w:val="32"/>
          <w:lang w:val="en-US" w:eastAsia="zh-CN"/>
        </w:rPr>
        <w:t>3</w:t>
      </w:r>
      <w:r>
        <w:rPr>
          <w:rFonts w:hint="eastAsia" w:ascii="Times New Roman" w:hAnsi="Times New Roman" w:eastAsia="仿宋_GB2312" w:cs="Times New Roman"/>
          <w:kern w:val="0"/>
          <w:sz w:val="32"/>
          <w:szCs w:val="32"/>
          <w:lang w:eastAsia="zh-CN"/>
        </w:rPr>
        <w:t>人，处分</w:t>
      </w:r>
      <w:r>
        <w:rPr>
          <w:rFonts w:hint="eastAsia" w:ascii="Times New Roman" w:hAnsi="Times New Roman" w:eastAsia="仿宋_GB2312" w:cs="Times New Roman"/>
          <w:kern w:val="0"/>
          <w:sz w:val="32"/>
          <w:szCs w:val="32"/>
          <w:lang w:val="en-US" w:eastAsia="zh-CN"/>
        </w:rPr>
        <w:t>21</w:t>
      </w:r>
      <w:r>
        <w:rPr>
          <w:rFonts w:hint="eastAsia" w:ascii="Times New Roman" w:hAnsi="Times New Roman" w:eastAsia="仿宋_GB2312" w:cs="Times New Roman"/>
          <w:kern w:val="0"/>
          <w:sz w:val="32"/>
          <w:szCs w:val="32"/>
          <w:lang w:eastAsia="zh-CN"/>
        </w:rPr>
        <w:t>人，组织处理2</w:t>
      </w:r>
      <w:r>
        <w:rPr>
          <w:rFonts w:hint="eastAsia" w:ascii="Times New Roman" w:hAnsi="Times New Roman" w:eastAsia="仿宋_GB2312" w:cs="Times New Roman"/>
          <w:kern w:val="0"/>
          <w:sz w:val="32"/>
          <w:szCs w:val="32"/>
          <w:lang w:val="en-US" w:eastAsia="zh-CN"/>
        </w:rPr>
        <w:t>1</w:t>
      </w:r>
      <w:r>
        <w:rPr>
          <w:rFonts w:hint="eastAsia" w:ascii="Times New Roman" w:hAnsi="Times New Roman" w:eastAsia="仿宋_GB2312" w:cs="Times New Roman"/>
          <w:kern w:val="0"/>
          <w:sz w:val="32"/>
          <w:szCs w:val="32"/>
          <w:lang w:eastAsia="zh-CN"/>
        </w:rPr>
        <w:t>人，立案审查调查“一把手”违纪违法问题2件2人，</w:t>
      </w:r>
      <w:r>
        <w:rPr>
          <w:rFonts w:ascii="Times New Roman" w:hAnsi="Times New Roman" w:eastAsia="仿宋_GB2312" w:cs="Times New Roman"/>
          <w:kern w:val="0"/>
          <w:sz w:val="32"/>
          <w:szCs w:val="32"/>
          <w:lang w:val="en-US" w:eastAsia="zh-CN"/>
        </w:rPr>
        <w:t>占立案人数的26.4%</w:t>
      </w:r>
      <w:r>
        <w:rPr>
          <w:rFonts w:hint="eastAsia" w:ascii="Times New Roman" w:hAnsi="Times New Roman" w:eastAsia="仿宋_GB2312" w:cs="Times New Roman"/>
          <w:kern w:val="0"/>
          <w:sz w:val="32"/>
          <w:szCs w:val="32"/>
          <w:lang w:eastAsia="zh-CN"/>
        </w:rPr>
        <w:t>。</w:t>
      </w:r>
      <w:r>
        <w:rPr>
          <w:rFonts w:ascii="Times New Roman" w:hAnsi="Times New Roman" w:eastAsia="仿宋_GB2312" w:cs="Times New Roman"/>
          <w:kern w:val="0"/>
          <w:sz w:val="32"/>
          <w:szCs w:val="32"/>
          <w:lang w:val="en-US" w:eastAsia="zh-CN"/>
        </w:rPr>
        <w:t>其中：立案查处县管干部23人（查处“一把手”违纪违法问题2件2人）</w:t>
      </w:r>
      <w:r>
        <w:rPr>
          <w:rFonts w:hint="eastAsia" w:ascii="Times New Roman" w:hAnsi="Times New Roman" w:eastAsia="仿宋_GB2312" w:cs="Times New Roman"/>
          <w:kern w:val="0"/>
          <w:sz w:val="32"/>
          <w:szCs w:val="32"/>
          <w:lang w:eastAsia="zh-CN"/>
        </w:rPr>
        <w:t>。</w:t>
      </w:r>
      <w:r>
        <w:rPr>
          <w:rFonts w:ascii="Times New Roman" w:hAnsi="Times New Roman" w:eastAsia="仿宋_GB2312"/>
          <w:sz w:val="32"/>
          <w:szCs w:val="32"/>
        </w:rPr>
        <w:t>抓实</w:t>
      </w:r>
      <w:r>
        <w:rPr>
          <w:rFonts w:ascii="Times New Roman" w:hAnsi="Times New Roman" w:eastAsia="仿宋_GB2312"/>
          <w:kern w:val="0"/>
          <w:sz w:val="32"/>
          <w:szCs w:val="32"/>
        </w:rPr>
        <w:t>“走读式”谈话安全，建立“日提醒、月检查、季反馈、半年通报”工作制度，</w:t>
      </w:r>
      <w:r>
        <w:rPr>
          <w:rFonts w:ascii="Times New Roman" w:hAnsi="Times New Roman" w:eastAsia="仿宋_GB2312"/>
          <w:kern w:val="0"/>
          <w:sz w:val="32"/>
          <w:szCs w:val="32"/>
          <w:highlight w:val="none"/>
        </w:rPr>
        <w:t>开展监督检查3轮次，督促整改问题14个</w:t>
      </w:r>
      <w:r>
        <w:rPr>
          <w:rFonts w:hint="eastAsia" w:ascii="Times New Roman" w:hAnsi="Times New Roman" w:eastAsia="仿宋_GB2312"/>
          <w:kern w:val="0"/>
          <w:sz w:val="32"/>
          <w:szCs w:val="32"/>
          <w:highlight w:val="none"/>
        </w:rPr>
        <w:t>，确保安全责任落实到岗、落实到人</w:t>
      </w:r>
      <w:r>
        <w:rPr>
          <w:rFonts w:ascii="Times New Roman" w:hAnsi="Times New Roman" w:eastAsia="仿宋_GB2312"/>
          <w:kern w:val="0"/>
          <w:sz w:val="32"/>
          <w:szCs w:val="32"/>
          <w:highlight w:val="none"/>
        </w:rPr>
        <w:t>。</w:t>
      </w:r>
    </w:p>
    <w:p w14:paraId="5E90CA37">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200" w:firstLine="640" w:firstLineChars="200"/>
        <w:textAlignment w:val="auto"/>
        <w:rPr>
          <w:rFonts w:hint="eastAsia" w:ascii="楷体_GB2312" w:hAnsi="楷体_GB2312" w:eastAsia="楷体_GB2312" w:cs="楷体_GB2312"/>
          <w:b w:val="0"/>
          <w:bCs w:val="0"/>
          <w:i w:val="0"/>
          <w:iCs w:val="0"/>
          <w:color w:val="auto"/>
          <w:kern w:val="0"/>
          <w:sz w:val="32"/>
          <w:szCs w:val="32"/>
          <w:highlight w:val="none"/>
          <w:u w:val="none"/>
          <w:lang w:val="en-US" w:eastAsia="zh-CN" w:bidi="ar"/>
        </w:rPr>
      </w:pPr>
      <w:r>
        <w:rPr>
          <w:rFonts w:hint="eastAsia" w:ascii="楷体_GB2312" w:hAnsi="楷体_GB2312" w:eastAsia="楷体_GB2312" w:cs="楷体_GB2312"/>
          <w:kern w:val="0"/>
          <w:sz w:val="32"/>
          <w:szCs w:val="32"/>
          <w:highlight w:val="none"/>
          <w:lang w:eastAsia="zh-CN"/>
        </w:rPr>
        <w:t>（</w:t>
      </w:r>
      <w:r>
        <w:rPr>
          <w:rFonts w:hint="eastAsia" w:ascii="楷体_GB2312" w:hAnsi="楷体_GB2312" w:eastAsia="楷体_GB2312" w:cs="楷体_GB2312"/>
          <w:kern w:val="0"/>
          <w:sz w:val="32"/>
          <w:szCs w:val="32"/>
          <w:highlight w:val="none"/>
          <w:lang w:val="en-US" w:eastAsia="zh-CN"/>
        </w:rPr>
        <w:t>三）</w:t>
      </w:r>
      <w:r>
        <w:rPr>
          <w:rFonts w:hint="eastAsia" w:ascii="楷体_GB2312" w:hAnsi="楷体_GB2312" w:eastAsia="楷体_GB2312" w:cs="楷体_GB2312"/>
          <w:b w:val="0"/>
          <w:bCs w:val="0"/>
          <w:i w:val="0"/>
          <w:iCs w:val="0"/>
          <w:color w:val="auto"/>
          <w:kern w:val="0"/>
          <w:sz w:val="32"/>
          <w:szCs w:val="32"/>
          <w:highlight w:val="none"/>
          <w:u w:val="none"/>
          <w:lang w:val="en-US" w:eastAsia="zh-CN" w:bidi="ar"/>
        </w:rPr>
        <w:t>各项指标完成情况分析</w:t>
      </w:r>
    </w:p>
    <w:p w14:paraId="1C9826A0">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left="0" w:leftChars="0" w:firstLine="838" w:firstLineChars="262"/>
        <w:textAlignment w:val="auto"/>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b w:val="0"/>
          <w:bCs w:val="0"/>
          <w:color w:val="000000"/>
          <w:kern w:val="0"/>
          <w:sz w:val="32"/>
          <w:szCs w:val="32"/>
          <w:lang w:val="en-US" w:eastAsia="zh-CN" w:bidi="ar"/>
        </w:rPr>
        <w:t>1.</w:t>
      </w:r>
      <w:r>
        <w:rPr>
          <w:rFonts w:hint="eastAsia" w:ascii="仿宋_GB2312" w:hAnsi="仿宋_GB2312" w:eastAsia="仿宋_GB2312" w:cs="仿宋_GB2312"/>
          <w:b w:val="0"/>
          <w:bCs w:val="0"/>
          <w:color w:val="000000"/>
          <w:kern w:val="0"/>
          <w:sz w:val="32"/>
          <w:szCs w:val="32"/>
          <w:lang w:bidi="ar"/>
        </w:rPr>
        <w:t>产出指标：</w:t>
      </w:r>
      <w:r>
        <w:rPr>
          <w:rFonts w:hint="eastAsia" w:ascii="仿宋_GB2312" w:hAnsi="仿宋_GB2312" w:eastAsia="仿宋_GB2312" w:cs="仿宋_GB2312"/>
          <w:b w:val="0"/>
          <w:bCs w:val="0"/>
          <w:color w:val="000000"/>
          <w:kern w:val="0"/>
          <w:sz w:val="32"/>
          <w:szCs w:val="32"/>
          <w:lang w:eastAsia="zh-CN" w:bidi="ar"/>
        </w:rPr>
        <w:t>为</w:t>
      </w:r>
      <w:r>
        <w:rPr>
          <w:rFonts w:hint="eastAsia" w:ascii="仿宋_GB2312" w:hAnsi="仿宋_GB2312" w:eastAsia="仿宋_GB2312" w:cs="仿宋_GB2312"/>
          <w:b w:val="0"/>
          <w:bCs w:val="0"/>
          <w:color w:val="000000"/>
          <w:kern w:val="0"/>
          <w:sz w:val="32"/>
          <w:szCs w:val="32"/>
          <w:lang w:val="en-US" w:eastAsia="zh-CN" w:bidi="ar"/>
        </w:rPr>
        <w:t>委机关全体人员按时足额支付各项费用，改善了办公条件，配备了</w:t>
      </w:r>
      <w:r>
        <w:rPr>
          <w:rFonts w:hint="eastAsia" w:ascii="仿宋_GB2312" w:hAnsi="仿宋_GB2312" w:eastAsia="仿宋_GB2312" w:cs="仿宋_GB2312"/>
          <w:b w:val="0"/>
          <w:bCs w:val="0"/>
          <w:color w:val="000000"/>
          <w:kern w:val="0"/>
          <w:sz w:val="32"/>
          <w:szCs w:val="32"/>
          <w:lang w:eastAsia="zh-CN" w:bidi="ar"/>
        </w:rPr>
        <w:t>办案办公办案</w:t>
      </w:r>
      <w:r>
        <w:rPr>
          <w:rFonts w:hint="eastAsia" w:ascii="仿宋_GB2312" w:hAnsi="仿宋_GB2312" w:eastAsia="仿宋_GB2312" w:cs="仿宋_GB2312"/>
          <w:b w:val="0"/>
          <w:bCs w:val="0"/>
          <w:color w:val="000000"/>
          <w:kern w:val="0"/>
          <w:sz w:val="32"/>
          <w:szCs w:val="32"/>
          <w:lang w:val="en-US" w:eastAsia="zh-CN" w:bidi="ar"/>
        </w:rPr>
        <w:t>设备。，全部完成年初目标</w:t>
      </w:r>
      <w:r>
        <w:rPr>
          <w:rFonts w:hint="eastAsia" w:ascii="仿宋_GB2312" w:hAnsi="仿宋_GB2312" w:eastAsia="仿宋_GB2312" w:cs="仿宋_GB2312"/>
          <w:color w:val="000000"/>
          <w:kern w:val="0"/>
          <w:sz w:val="32"/>
          <w:szCs w:val="32"/>
          <w:lang w:bidi="ar"/>
        </w:rPr>
        <w:t>全部完成年初目标。</w:t>
      </w:r>
    </w:p>
    <w:p w14:paraId="3C840664">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b w:val="0"/>
          <w:bCs w:val="0"/>
          <w:color w:val="000000"/>
          <w:kern w:val="0"/>
          <w:sz w:val="32"/>
          <w:szCs w:val="32"/>
          <w:lang w:val="en-US" w:eastAsia="zh-CN" w:bidi="ar"/>
        </w:rPr>
        <w:t>2.效益指标：</w:t>
      </w:r>
      <w:r>
        <w:rPr>
          <w:rFonts w:hint="eastAsia" w:ascii="仿宋_GB2312" w:hAnsi="仿宋_GB2312" w:eastAsia="仿宋_GB2312" w:cs="仿宋_GB2312"/>
          <w:color w:val="000000"/>
          <w:kern w:val="0"/>
          <w:sz w:val="32"/>
          <w:szCs w:val="32"/>
          <w:lang w:bidi="ar"/>
        </w:rPr>
        <w:t>纪检监察机关工作</w:t>
      </w:r>
      <w:r>
        <w:rPr>
          <w:rFonts w:hint="eastAsia" w:ascii="仿宋_GB2312" w:hAnsi="仿宋_GB2312" w:eastAsia="仿宋_GB2312" w:cs="仿宋_GB2312"/>
          <w:color w:val="000000"/>
          <w:kern w:val="0"/>
          <w:sz w:val="32"/>
          <w:szCs w:val="32"/>
          <w:lang w:eastAsia="zh-CN" w:bidi="ar"/>
        </w:rPr>
        <w:t>取得实质性</w:t>
      </w:r>
      <w:r>
        <w:rPr>
          <w:rFonts w:hint="eastAsia" w:ascii="仿宋_GB2312" w:hAnsi="仿宋_GB2312" w:eastAsia="仿宋_GB2312" w:cs="仿宋_GB2312"/>
          <w:color w:val="000000"/>
          <w:kern w:val="0"/>
          <w:sz w:val="32"/>
          <w:szCs w:val="32"/>
          <w:lang w:bidi="ar"/>
        </w:rPr>
        <w:t>实效</w:t>
      </w:r>
      <w:r>
        <w:rPr>
          <w:rFonts w:hint="eastAsia" w:ascii="仿宋_GB2312" w:hAnsi="仿宋_GB2312" w:eastAsia="仿宋_GB2312" w:cs="仿宋_GB2312"/>
          <w:color w:val="000000"/>
          <w:kern w:val="0"/>
          <w:sz w:val="32"/>
          <w:szCs w:val="32"/>
          <w:lang w:eastAsia="zh-CN" w:bidi="ar"/>
        </w:rPr>
        <w:t>，</w:t>
      </w:r>
      <w:r>
        <w:rPr>
          <w:rFonts w:hint="eastAsia" w:ascii="仿宋_GB2312" w:hAnsi="仿宋_GB2312" w:eastAsia="仿宋_GB2312" w:cs="仿宋_GB2312"/>
          <w:color w:val="000000"/>
          <w:kern w:val="0"/>
          <w:sz w:val="32"/>
          <w:szCs w:val="32"/>
          <w:lang w:bidi="ar"/>
        </w:rPr>
        <w:t>全部完成年初目标。</w:t>
      </w:r>
    </w:p>
    <w:p w14:paraId="7405ED43">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b w:val="0"/>
          <w:bCs w:val="0"/>
          <w:color w:val="000000"/>
          <w:kern w:val="0"/>
          <w:sz w:val="32"/>
          <w:szCs w:val="32"/>
          <w:lang w:val="en-US" w:eastAsia="zh-CN" w:bidi="ar"/>
        </w:rPr>
        <w:t>3.满意度指标：</w:t>
      </w:r>
      <w:r>
        <w:rPr>
          <w:rFonts w:hint="eastAsia" w:ascii="仿宋_GB2312" w:hAnsi="仿宋_GB2312" w:eastAsia="仿宋_GB2312" w:cs="仿宋_GB2312"/>
          <w:b w:val="0"/>
          <w:bCs w:val="0"/>
          <w:color w:val="000000"/>
          <w:kern w:val="0"/>
          <w:sz w:val="32"/>
          <w:szCs w:val="32"/>
          <w:lang w:bidi="ar"/>
        </w:rPr>
        <w:t>全体职工对办公条件、环境满意</w:t>
      </w:r>
      <w:r>
        <w:rPr>
          <w:rFonts w:hint="eastAsia" w:ascii="仿宋_GB2312" w:hAnsi="仿宋_GB2312" w:eastAsia="仿宋_GB2312" w:cs="仿宋_GB2312"/>
          <w:b w:val="0"/>
          <w:bCs w:val="0"/>
          <w:color w:val="000000"/>
          <w:kern w:val="0"/>
          <w:sz w:val="32"/>
          <w:szCs w:val="32"/>
          <w:lang w:eastAsia="zh-CN" w:bidi="ar"/>
        </w:rPr>
        <w:t>，</w:t>
      </w:r>
      <w:r>
        <w:rPr>
          <w:rFonts w:hint="eastAsia" w:ascii="仿宋_GB2312" w:hAnsi="仿宋_GB2312" w:eastAsia="仿宋_GB2312" w:cs="仿宋_GB2312"/>
          <w:color w:val="000000"/>
          <w:kern w:val="0"/>
          <w:sz w:val="32"/>
          <w:szCs w:val="32"/>
          <w:lang w:bidi="ar"/>
        </w:rPr>
        <w:t>全部完成年初目标。</w:t>
      </w:r>
    </w:p>
    <w:p w14:paraId="6B45F1D1">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0" w:firstLineChars="200"/>
        <w:textAlignment w:val="auto"/>
        <w:rPr>
          <w:rFonts w:hint="eastAsia" w:ascii="楷体_GB2312" w:hAnsi="楷体_GB2312" w:eastAsia="楷体_GB2312" w:cs="楷体_GB2312"/>
          <w:b w:val="0"/>
          <w:bCs w:val="0"/>
          <w:color w:val="auto"/>
          <w:sz w:val="32"/>
          <w:szCs w:val="32"/>
          <w:lang w:val="en-US" w:eastAsia="zh-CN"/>
        </w:rPr>
      </w:pPr>
      <w:r>
        <w:rPr>
          <w:rStyle w:val="18"/>
          <w:rFonts w:hint="eastAsia" w:ascii="楷体_GB2312" w:hAnsi="楷体_GB2312" w:eastAsia="楷体_GB2312" w:cs="楷体_GB2312"/>
          <w:b w:val="0"/>
          <w:bCs w:val="0"/>
          <w:sz w:val="32"/>
          <w:szCs w:val="32"/>
          <w:lang w:val="en-US" w:eastAsia="zh-CN" w:bidi="ar"/>
        </w:rPr>
        <w:t>（四）偏离绩效目标的原因及下一步改进措施</w:t>
      </w:r>
    </w:p>
    <w:p w14:paraId="355F6C74">
      <w:pPr>
        <w:keepNext w:val="0"/>
        <w:keepLines w:val="0"/>
        <w:pageBreakBefore w:val="0"/>
        <w:tabs>
          <w:tab w:val="left" w:pos="2141"/>
        </w:tabs>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i w:val="0"/>
          <w:iCs w:val="0"/>
          <w:caps w:val="0"/>
          <w:color w:val="000000"/>
          <w:spacing w:val="0"/>
          <w:kern w:val="0"/>
          <w:sz w:val="32"/>
          <w:szCs w:val="32"/>
          <w:highlight w:val="none"/>
          <w:shd w:val="clear" w:color="auto" w:fill="FFFFFF"/>
          <w:lang w:val="en-US" w:eastAsia="zh-CN" w:bidi="ar"/>
        </w:rPr>
      </w:pPr>
      <w:r>
        <w:rPr>
          <w:rFonts w:hint="eastAsia" w:ascii="仿宋_GB2312" w:hAnsi="仿宋_GB2312" w:eastAsia="仿宋_GB2312" w:cs="仿宋_GB2312"/>
          <w:i w:val="0"/>
          <w:iCs w:val="0"/>
          <w:caps w:val="0"/>
          <w:color w:val="000000"/>
          <w:spacing w:val="0"/>
          <w:kern w:val="0"/>
          <w:sz w:val="32"/>
          <w:szCs w:val="32"/>
          <w:highlight w:val="none"/>
          <w:shd w:val="clear" w:color="auto" w:fill="FFFFFF"/>
          <w:lang w:val="en-US" w:eastAsia="zh-CN" w:bidi="ar"/>
        </w:rPr>
        <w:t>2023年县纪委监委部分子项目的资金预算与实际执行不符，有未执行和执行不到位的情况。信息统计考核全面的绩效指标设定，与实际资金使用后产出效果不匹配，相应的防范工作和纪检监察绩效指标也需调整，建议在下年度绩效指标设定中删除。</w:t>
      </w:r>
    </w:p>
    <w:p w14:paraId="3B1B17A8">
      <w:pPr>
        <w:keepNext w:val="0"/>
        <w:keepLines w:val="0"/>
        <w:pageBreakBefore w:val="0"/>
        <w:widowControl w:val="0"/>
        <w:kinsoku/>
        <w:wordWrap/>
        <w:overflowPunct/>
        <w:topLinePunct w:val="0"/>
        <w:autoSpaceDE/>
        <w:autoSpaceDN/>
        <w:bidi w:val="0"/>
        <w:adjustRightInd/>
        <w:snapToGrid/>
        <w:spacing w:line="620" w:lineRule="exact"/>
        <w:ind w:firstLine="640" w:firstLineChars="200"/>
        <w:jc w:val="left"/>
        <w:textAlignment w:val="auto"/>
        <w:rPr>
          <w:rFonts w:hint="eastAsia" w:ascii="黑体" w:hAnsi="黑体" w:eastAsia="黑体" w:cs="黑体"/>
          <w:sz w:val="32"/>
          <w:szCs w:val="32"/>
        </w:rPr>
      </w:pPr>
      <w:r>
        <w:rPr>
          <w:rStyle w:val="16"/>
          <w:sz w:val="32"/>
          <w:szCs w:val="32"/>
          <w:lang w:val="en-US" w:eastAsia="zh-CN" w:bidi="ar"/>
        </w:rPr>
        <w:t>四、</w:t>
      </w:r>
      <w:r>
        <w:rPr>
          <w:rFonts w:hint="eastAsia" w:ascii="黑体" w:hAnsi="黑体" w:eastAsia="黑体" w:cs="黑体"/>
          <w:sz w:val="32"/>
          <w:szCs w:val="32"/>
        </w:rPr>
        <w:t>财政支出管理情况</w:t>
      </w:r>
    </w:p>
    <w:p w14:paraId="772B49A9">
      <w:pPr>
        <w:keepNext w:val="0"/>
        <w:keepLines w:val="0"/>
        <w:pageBreakBefore w:val="0"/>
        <w:widowControl w:val="0"/>
        <w:kinsoku/>
        <w:wordWrap/>
        <w:overflowPunct/>
        <w:topLinePunct w:val="0"/>
        <w:autoSpaceDE/>
        <w:autoSpaceDN/>
        <w:bidi w:val="0"/>
        <w:adjustRightInd/>
        <w:snapToGrid/>
        <w:spacing w:line="62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对照年初批复的绩效目标，</w:t>
      </w:r>
      <w:r>
        <w:rPr>
          <w:rFonts w:hint="eastAsia" w:ascii="仿宋_GB2312" w:hAnsi="仿宋_GB2312" w:eastAsia="仿宋_GB2312" w:cs="仿宋_GB2312"/>
          <w:sz w:val="32"/>
          <w:szCs w:val="32"/>
          <w:lang w:eastAsia="zh-CN"/>
        </w:rPr>
        <w:t>县纪委监委</w:t>
      </w:r>
      <w:r>
        <w:rPr>
          <w:rFonts w:hint="eastAsia" w:ascii="仿宋_GB2312" w:hAnsi="仿宋_GB2312" w:eastAsia="仿宋_GB2312" w:cs="仿宋_GB2312"/>
          <w:sz w:val="32"/>
          <w:szCs w:val="32"/>
        </w:rPr>
        <w:t>对202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年涉及部门人员经费、公用经费、项目经费等全部支出实施进度及预期实现程度进行监控管理，执行总体比较规范，项目进度完成情况总体较好。</w:t>
      </w:r>
    </w:p>
    <w:p w14:paraId="33293BA0">
      <w:pPr>
        <w:keepNext w:val="0"/>
        <w:keepLines w:val="0"/>
        <w:pageBreakBefore w:val="0"/>
        <w:widowControl w:val="0"/>
        <w:kinsoku/>
        <w:wordWrap/>
        <w:overflowPunct/>
        <w:topLinePunct w:val="0"/>
        <w:autoSpaceDE/>
        <w:autoSpaceDN/>
        <w:bidi w:val="0"/>
        <w:adjustRightInd/>
        <w:snapToGrid/>
        <w:spacing w:line="620" w:lineRule="exact"/>
        <w:ind w:firstLine="643" w:firstLineChars="200"/>
        <w:jc w:val="left"/>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lang w:eastAsia="zh-CN"/>
        </w:rPr>
        <w:t>（一）</w:t>
      </w:r>
      <w:r>
        <w:rPr>
          <w:rFonts w:hint="eastAsia" w:ascii="楷体_GB2312" w:hAnsi="楷体_GB2312" w:eastAsia="楷体_GB2312" w:cs="楷体_GB2312"/>
          <w:b/>
          <w:bCs/>
          <w:sz w:val="32"/>
          <w:szCs w:val="32"/>
        </w:rPr>
        <w:t>部门预算编制</w:t>
      </w:r>
    </w:p>
    <w:p w14:paraId="5E0C2570">
      <w:pPr>
        <w:keepNext w:val="0"/>
        <w:keepLines w:val="0"/>
        <w:pageBreakBefore w:val="0"/>
        <w:widowControl w:val="0"/>
        <w:kinsoku/>
        <w:wordWrap/>
        <w:overflowPunct/>
        <w:topLinePunct w:val="0"/>
        <w:autoSpaceDE/>
        <w:autoSpaceDN/>
        <w:bidi w:val="0"/>
        <w:adjustRightInd/>
        <w:snapToGrid/>
        <w:spacing w:line="62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按照预算管理有关规定，目前部门预算的编制实行综合预算制度，即全部收入和支出都反映在预算中。</w:t>
      </w:r>
    </w:p>
    <w:p w14:paraId="7A70CDB5">
      <w:pPr>
        <w:keepNext w:val="0"/>
        <w:keepLines w:val="0"/>
        <w:pageBreakBefore w:val="0"/>
        <w:widowControl w:val="0"/>
        <w:kinsoku/>
        <w:wordWrap/>
        <w:overflowPunct/>
        <w:topLinePunct w:val="0"/>
        <w:autoSpaceDE/>
        <w:autoSpaceDN/>
        <w:bidi w:val="0"/>
        <w:adjustRightInd/>
        <w:snapToGrid/>
        <w:spacing w:line="62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本单位预算安排支出主要用于保障该部门机构正常运转、完成日常工作任务以及承担</w:t>
      </w:r>
      <w:r>
        <w:rPr>
          <w:rFonts w:hint="eastAsia" w:ascii="仿宋_GB2312" w:hAnsi="仿宋_GB2312" w:eastAsia="仿宋_GB2312" w:cs="仿宋_GB2312"/>
          <w:sz w:val="32"/>
          <w:szCs w:val="32"/>
          <w:lang w:eastAsia="zh-CN"/>
        </w:rPr>
        <w:t>办案人员保障</w:t>
      </w:r>
      <w:r>
        <w:rPr>
          <w:rFonts w:hint="eastAsia" w:ascii="仿宋_GB2312" w:hAnsi="仿宋_GB2312" w:eastAsia="仿宋_GB2312" w:cs="仿宋_GB2312"/>
          <w:sz w:val="32"/>
          <w:szCs w:val="32"/>
        </w:rPr>
        <w:t>相关工作。</w:t>
      </w:r>
    </w:p>
    <w:p w14:paraId="77D21F7C">
      <w:pPr>
        <w:keepNext w:val="0"/>
        <w:keepLines w:val="0"/>
        <w:pageBreakBefore w:val="0"/>
        <w:widowControl w:val="0"/>
        <w:kinsoku/>
        <w:wordWrap/>
        <w:overflowPunct/>
        <w:topLinePunct w:val="0"/>
        <w:autoSpaceDE/>
        <w:autoSpaceDN/>
        <w:bidi w:val="0"/>
        <w:adjustRightInd/>
        <w:snapToGrid/>
        <w:spacing w:line="62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基本支出，是用于保障机构正常运转的日常支出，包括基本工资、津贴补贴等人员经费以及办公费、印刷费、水电费、办公设备购置等日常公用经费。</w:t>
      </w:r>
    </w:p>
    <w:p w14:paraId="299BD8EB">
      <w:pPr>
        <w:keepNext w:val="0"/>
        <w:keepLines w:val="0"/>
        <w:pageBreakBefore w:val="0"/>
        <w:widowControl w:val="0"/>
        <w:kinsoku/>
        <w:wordWrap/>
        <w:overflowPunct/>
        <w:topLinePunct w:val="0"/>
        <w:autoSpaceDE/>
        <w:autoSpaceDN/>
        <w:bidi w:val="0"/>
        <w:adjustRightInd/>
        <w:snapToGrid/>
        <w:spacing w:line="62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项目支出，是用于</w:t>
      </w:r>
      <w:r>
        <w:rPr>
          <w:rFonts w:hint="eastAsia" w:ascii="仿宋_GB2312" w:hAnsi="仿宋_GB2312" w:eastAsia="仿宋_GB2312" w:cs="仿宋_GB2312"/>
          <w:sz w:val="32"/>
          <w:szCs w:val="32"/>
          <w:lang w:eastAsia="zh-CN"/>
        </w:rPr>
        <w:t>检举举报平台深化应用、纪检监察网络建设、视频会商系统升级改造等全省信息化建设项目</w:t>
      </w:r>
      <w:r>
        <w:rPr>
          <w:rFonts w:hint="eastAsia" w:ascii="仿宋_GB2312" w:hAnsi="仿宋_GB2312" w:eastAsia="仿宋_GB2312" w:cs="仿宋_GB2312"/>
          <w:sz w:val="32"/>
          <w:szCs w:val="32"/>
        </w:rPr>
        <w:t>支出。</w:t>
      </w:r>
    </w:p>
    <w:p w14:paraId="4B634FA5">
      <w:pPr>
        <w:keepNext w:val="0"/>
        <w:keepLines w:val="0"/>
        <w:pageBreakBefore w:val="0"/>
        <w:widowControl w:val="0"/>
        <w:kinsoku/>
        <w:wordWrap/>
        <w:overflowPunct/>
        <w:topLinePunct w:val="0"/>
        <w:autoSpaceDE/>
        <w:autoSpaceDN/>
        <w:bidi w:val="0"/>
        <w:adjustRightInd/>
        <w:snapToGrid/>
        <w:spacing w:line="620" w:lineRule="exact"/>
        <w:ind w:firstLine="643" w:firstLineChars="200"/>
        <w:jc w:val="left"/>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（二）部门预算执行</w:t>
      </w:r>
    </w:p>
    <w:p w14:paraId="7B9B93D2">
      <w:pPr>
        <w:keepNext w:val="0"/>
        <w:keepLines w:val="0"/>
        <w:pageBreakBefore w:val="0"/>
        <w:widowControl w:val="0"/>
        <w:kinsoku/>
        <w:wordWrap/>
        <w:overflowPunct/>
        <w:topLinePunct w:val="0"/>
        <w:autoSpaceDE/>
        <w:autoSpaceDN/>
        <w:bidi w:val="0"/>
        <w:adjustRightInd/>
        <w:snapToGrid/>
        <w:spacing w:line="62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是产出指标中，数量指标：人员经费按月保障，公用经费按进度申报、支付，执行情况为按照指标执行，执行情况良好。质量指标：基本满足在职人员正常办公、生活要求，基本满足基层政权基本运转，执行情况良好。时效指标：在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年度完成各项资金支出进度要求，保障</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各项工作顺利开展、工资薪金按时发放，执行情况良好。</w:t>
      </w:r>
    </w:p>
    <w:p w14:paraId="5601EA8C">
      <w:pPr>
        <w:keepNext w:val="0"/>
        <w:keepLines w:val="0"/>
        <w:pageBreakBefore w:val="0"/>
        <w:widowControl w:val="0"/>
        <w:kinsoku/>
        <w:wordWrap/>
        <w:overflowPunct/>
        <w:topLinePunct w:val="0"/>
        <w:autoSpaceDE/>
        <w:autoSpaceDN/>
        <w:bidi w:val="0"/>
        <w:adjustRightInd/>
        <w:snapToGrid/>
        <w:spacing w:line="62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是效益指标中，经济效益指标：加强预算执行，节约政府运营成本，执行情况良好。社会效益指标：加强民生资金管理，确保群众有良好的工作、生活环境，提高人民群众的满意度和幸福感。生态效益指标：加强环境整治，改善我镇生态环境，维护我镇环境优美。可持续影响指标：体现政策导向，长期保障工作平稳进行，执行情况良好。</w:t>
      </w:r>
    </w:p>
    <w:p w14:paraId="2524C441">
      <w:pPr>
        <w:keepNext w:val="0"/>
        <w:keepLines w:val="0"/>
        <w:pageBreakBefore w:val="0"/>
        <w:widowControl w:val="0"/>
        <w:kinsoku/>
        <w:wordWrap/>
        <w:overflowPunct/>
        <w:topLinePunct w:val="0"/>
        <w:autoSpaceDE/>
        <w:autoSpaceDN/>
        <w:bidi w:val="0"/>
        <w:adjustRightInd/>
        <w:snapToGrid/>
        <w:spacing w:line="62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三是满意度指标中，服务对象满意度指标：保障干部职工和人民群众有一个良好的工作、生活环境，保障群众满意度≥90%，执行情况良好。</w:t>
      </w:r>
    </w:p>
    <w:p w14:paraId="06EED0DB">
      <w:pPr>
        <w:keepNext w:val="0"/>
        <w:keepLines w:val="0"/>
        <w:pageBreakBefore w:val="0"/>
        <w:widowControl w:val="0"/>
        <w:kinsoku/>
        <w:wordWrap/>
        <w:overflowPunct/>
        <w:topLinePunct w:val="0"/>
        <w:autoSpaceDE/>
        <w:autoSpaceDN/>
        <w:bidi w:val="0"/>
        <w:adjustRightInd/>
        <w:snapToGrid/>
        <w:spacing w:line="620" w:lineRule="exact"/>
        <w:ind w:firstLine="643" w:firstLineChars="200"/>
        <w:jc w:val="left"/>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（三）部门财务管理。</w:t>
      </w:r>
    </w:p>
    <w:p w14:paraId="40CF6009">
      <w:pPr>
        <w:keepNext w:val="0"/>
        <w:keepLines w:val="0"/>
        <w:pageBreakBefore w:val="0"/>
        <w:widowControl w:val="0"/>
        <w:kinsoku/>
        <w:wordWrap/>
        <w:overflowPunct/>
        <w:topLinePunct w:val="0"/>
        <w:autoSpaceDE/>
        <w:autoSpaceDN/>
        <w:bidi w:val="0"/>
        <w:adjustRightInd/>
        <w:snapToGrid/>
        <w:spacing w:line="62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政府采购。政府采购程序为：各办公室需采购的办公用品、办公设备报经分管领导、主要领导同意后，做好采购审批表，经主要领导签字后报县财政局采购股等待审批，根据审批的情况进行采购，如审批为分散采购则所需办公用品或办公设备的办公室会同财政、纪委进行询价采购，如审批为电子竞标则通过采购网进行招标采购。</w:t>
      </w:r>
    </w:p>
    <w:p w14:paraId="63756826">
      <w:pPr>
        <w:keepNext w:val="0"/>
        <w:keepLines w:val="0"/>
        <w:pageBreakBefore w:val="0"/>
        <w:widowControl w:val="0"/>
        <w:kinsoku/>
        <w:wordWrap/>
        <w:overflowPunct/>
        <w:topLinePunct w:val="0"/>
        <w:autoSpaceDE/>
        <w:autoSpaceDN/>
        <w:bidi w:val="0"/>
        <w:adjustRightInd/>
        <w:snapToGrid/>
        <w:spacing w:line="62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2、资产管理。完成单位国有资产纳入系统管理，并落实专人负责。</w:t>
      </w:r>
    </w:p>
    <w:p w14:paraId="30D669EC">
      <w:pPr>
        <w:keepNext w:val="0"/>
        <w:keepLines w:val="0"/>
        <w:pageBreakBefore w:val="0"/>
        <w:widowControl w:val="0"/>
        <w:kinsoku/>
        <w:wordWrap/>
        <w:overflowPunct/>
        <w:topLinePunct w:val="0"/>
        <w:autoSpaceDE/>
        <w:autoSpaceDN/>
        <w:bidi w:val="0"/>
        <w:adjustRightInd/>
        <w:snapToGrid/>
        <w:spacing w:line="62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3、内控管理。</w:t>
      </w:r>
      <w:r>
        <w:rPr>
          <w:rFonts w:hint="eastAsia" w:ascii="仿宋_GB2312" w:hAnsi="仿宋_GB2312" w:eastAsia="仿宋_GB2312" w:cs="仿宋_GB2312"/>
          <w:sz w:val="32"/>
          <w:szCs w:val="32"/>
          <w:lang w:eastAsia="zh-CN"/>
        </w:rPr>
        <w:t>民乐县纪委监委</w:t>
      </w:r>
      <w:r>
        <w:rPr>
          <w:rFonts w:hint="eastAsia" w:ascii="仿宋_GB2312" w:hAnsi="仿宋_GB2312" w:eastAsia="仿宋_GB2312" w:cs="仿宋_GB2312"/>
          <w:sz w:val="32"/>
          <w:szCs w:val="32"/>
        </w:rPr>
        <w:t>内控制度较为健全；财务管理和会计核算统一会计核算监督平台。</w:t>
      </w:r>
    </w:p>
    <w:p w14:paraId="7F205DC6">
      <w:pPr>
        <w:keepNext w:val="0"/>
        <w:keepLines w:val="0"/>
        <w:pageBreakBefore w:val="0"/>
        <w:widowControl w:val="0"/>
        <w:kinsoku/>
        <w:wordWrap/>
        <w:overflowPunct/>
        <w:topLinePunct w:val="0"/>
        <w:autoSpaceDE/>
        <w:autoSpaceDN/>
        <w:bidi w:val="0"/>
        <w:adjustRightInd/>
        <w:snapToGrid/>
        <w:spacing w:line="62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4.资金管理：</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各部门所有资金都属于财政资金，各部门所有收支，统一归口</w:t>
      </w:r>
      <w:r>
        <w:rPr>
          <w:rFonts w:hint="eastAsia" w:ascii="仿宋_GB2312" w:hAnsi="仿宋_GB2312" w:eastAsia="仿宋_GB2312" w:cs="仿宋_GB2312"/>
          <w:sz w:val="32"/>
          <w:szCs w:val="32"/>
          <w:lang w:eastAsia="zh-CN"/>
        </w:rPr>
        <w:t>县纪委监委财务</w:t>
      </w:r>
      <w:r>
        <w:rPr>
          <w:rFonts w:hint="eastAsia" w:ascii="仿宋_GB2312" w:hAnsi="仿宋_GB2312" w:eastAsia="仿宋_GB2312" w:cs="仿宋_GB2312"/>
          <w:sz w:val="32"/>
          <w:szCs w:val="32"/>
        </w:rPr>
        <w:t>管理，任何部门和个人都不得开设银行及其管理帐户，收入统一使用财政部门规定的相关收款收据收款，并严格实行“收支”两条线管理，收入全额缴存财政所账户，任何部门和个人都不得挫支，挪用。</w:t>
      </w:r>
    </w:p>
    <w:p w14:paraId="66028CDC">
      <w:pPr>
        <w:keepNext w:val="0"/>
        <w:keepLines w:val="0"/>
        <w:pageBreakBefore w:val="0"/>
        <w:widowControl w:val="0"/>
        <w:kinsoku/>
        <w:wordWrap/>
        <w:overflowPunct/>
        <w:topLinePunct w:val="0"/>
        <w:autoSpaceDE/>
        <w:autoSpaceDN/>
        <w:bidi w:val="0"/>
        <w:adjustRightInd/>
        <w:snapToGrid/>
        <w:spacing w:line="62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5.支出管理：本级所有支出必须执行年初预算和资金使用计划，否则不予执行。所有支出实行</w:t>
      </w:r>
      <w:r>
        <w:rPr>
          <w:rFonts w:hint="eastAsia" w:ascii="仿宋_GB2312" w:hAnsi="仿宋_GB2312" w:eastAsia="仿宋_GB2312" w:cs="仿宋_GB2312"/>
          <w:sz w:val="32"/>
          <w:szCs w:val="32"/>
          <w:lang w:eastAsia="zh-CN"/>
        </w:rPr>
        <w:t>分管财务领导</w:t>
      </w:r>
      <w:r>
        <w:rPr>
          <w:rFonts w:hint="eastAsia" w:ascii="仿宋_GB2312" w:hAnsi="仿宋_GB2312" w:eastAsia="仿宋_GB2312" w:cs="仿宋_GB2312"/>
          <w:sz w:val="32"/>
          <w:szCs w:val="32"/>
        </w:rPr>
        <w:t>审批负责制。资金审批程序：相关部门负责人签据意见--</w:t>
      </w:r>
      <w:r>
        <w:rPr>
          <w:rFonts w:hint="eastAsia" w:ascii="仿宋_GB2312" w:hAnsi="仿宋_GB2312" w:eastAsia="仿宋_GB2312" w:cs="仿宋_GB2312"/>
          <w:sz w:val="32"/>
          <w:szCs w:val="32"/>
          <w:lang w:eastAsia="zh-CN"/>
        </w:rPr>
        <w:t>分管领导</w:t>
      </w:r>
      <w:r>
        <w:rPr>
          <w:rFonts w:hint="eastAsia" w:ascii="仿宋_GB2312" w:hAnsi="仿宋_GB2312" w:eastAsia="仿宋_GB2312" w:cs="仿宋_GB2312"/>
          <w:sz w:val="32"/>
          <w:szCs w:val="32"/>
        </w:rPr>
        <w:t>签据意见---分管</w:t>
      </w:r>
      <w:r>
        <w:rPr>
          <w:rFonts w:hint="eastAsia" w:ascii="仿宋_GB2312" w:hAnsi="仿宋_GB2312" w:eastAsia="仿宋_GB2312" w:cs="仿宋_GB2312"/>
          <w:sz w:val="32"/>
          <w:szCs w:val="32"/>
          <w:lang w:eastAsia="zh-CN"/>
        </w:rPr>
        <w:t>财务</w:t>
      </w:r>
      <w:r>
        <w:rPr>
          <w:rFonts w:hint="eastAsia" w:ascii="仿宋_GB2312" w:hAnsi="仿宋_GB2312" w:eastAsia="仿宋_GB2312" w:cs="仿宋_GB2312"/>
          <w:sz w:val="32"/>
          <w:szCs w:val="32"/>
        </w:rPr>
        <w:t>领导终结审批；重大资金、工程及其项目资金分配使用程序：相关部门负责人（方案）---分管领导---主要领导以及相关人员集体研究决定---方可实施。</w:t>
      </w:r>
    </w:p>
    <w:p w14:paraId="7E7D261E">
      <w:pPr>
        <w:keepNext w:val="0"/>
        <w:keepLines w:val="0"/>
        <w:pageBreakBefore w:val="0"/>
        <w:widowControl w:val="0"/>
        <w:kinsoku/>
        <w:wordWrap/>
        <w:overflowPunct/>
        <w:topLinePunct w:val="0"/>
        <w:autoSpaceDE/>
        <w:autoSpaceDN/>
        <w:bidi w:val="0"/>
        <w:adjustRightInd/>
        <w:snapToGrid/>
        <w:spacing w:line="62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今年以来，</w:t>
      </w:r>
      <w:r>
        <w:rPr>
          <w:rFonts w:hint="eastAsia" w:ascii="仿宋_GB2312" w:hAnsi="仿宋_GB2312" w:eastAsia="仿宋_GB2312" w:cs="仿宋_GB2312"/>
          <w:sz w:val="32"/>
          <w:szCs w:val="32"/>
          <w:lang w:eastAsia="zh-CN"/>
        </w:rPr>
        <w:t>县纪委监委</w:t>
      </w:r>
      <w:r>
        <w:rPr>
          <w:rFonts w:hint="eastAsia" w:ascii="仿宋_GB2312" w:hAnsi="仿宋_GB2312" w:eastAsia="仿宋_GB2312" w:cs="仿宋_GB2312"/>
          <w:sz w:val="32"/>
          <w:szCs w:val="32"/>
        </w:rPr>
        <w:t>预算整体绩效运行总体较好，监管工作推进有力，项目经费按专项进行明细核算，做到了专款专用。在下一步的工作中，一是要加强绩效目标填报的学习，提升预算支出绩效管理意识；二是要加强绩效目标的前期自我审核，不仅要从形式上审核，而且要深化、扩大实质性审核，完善绩效目标内容，并将审核结果与预算编制流程对接。我</w:t>
      </w:r>
      <w:r>
        <w:rPr>
          <w:rFonts w:hint="eastAsia" w:ascii="仿宋_GB2312" w:hAnsi="仿宋_GB2312" w:eastAsia="仿宋_GB2312" w:cs="仿宋_GB2312"/>
          <w:sz w:val="32"/>
          <w:szCs w:val="32"/>
          <w:lang w:val="en-US" w:eastAsia="zh-CN"/>
        </w:rPr>
        <w:t>委</w:t>
      </w:r>
      <w:r>
        <w:rPr>
          <w:rFonts w:hint="eastAsia" w:ascii="仿宋_GB2312" w:hAnsi="仿宋_GB2312" w:eastAsia="仿宋_GB2312" w:cs="仿宋_GB2312"/>
          <w:sz w:val="32"/>
          <w:szCs w:val="32"/>
        </w:rPr>
        <w:t>将继续加强有效管理，充分发挥部门预算资金的整体效益。</w:t>
      </w:r>
    </w:p>
    <w:p w14:paraId="10FFBE68">
      <w:pPr>
        <w:pStyle w:val="4"/>
        <w:rPr>
          <w:rFonts w:hint="eastAsia" w:ascii="仿宋" w:hAnsi="仿宋" w:eastAsia="仿宋" w:cs="仿宋"/>
          <w:i w:val="0"/>
          <w:iCs w:val="0"/>
          <w:color w:val="000000"/>
          <w:kern w:val="0"/>
          <w:sz w:val="32"/>
          <w:szCs w:val="32"/>
          <w:u w:val="none"/>
          <w:lang w:val="en-US" w:eastAsia="zh-CN" w:bidi="ar"/>
        </w:rPr>
      </w:pPr>
    </w:p>
    <w:p w14:paraId="7394EB6D">
      <w:pPr>
        <w:pStyle w:val="4"/>
        <w:rPr>
          <w:rFonts w:hint="eastAsia" w:ascii="仿宋" w:hAnsi="仿宋" w:eastAsia="仿宋" w:cs="仿宋"/>
          <w:i w:val="0"/>
          <w:iCs w:val="0"/>
          <w:color w:val="000000"/>
          <w:kern w:val="0"/>
          <w:sz w:val="32"/>
          <w:szCs w:val="32"/>
          <w:u w:val="none"/>
          <w:lang w:val="en-US" w:eastAsia="zh-CN" w:bidi="ar"/>
        </w:rPr>
      </w:pPr>
    </w:p>
    <w:p w14:paraId="4307C3A7">
      <w:pPr>
        <w:pStyle w:val="4"/>
        <w:keepNext w:val="0"/>
        <w:keepLines w:val="0"/>
        <w:pageBreakBefore w:val="0"/>
        <w:kinsoku/>
        <w:wordWrap/>
        <w:topLinePunct w:val="0"/>
        <w:autoSpaceDE/>
        <w:autoSpaceDN/>
        <w:bidi w:val="0"/>
        <w:adjustRightInd/>
        <w:snapToGrid/>
        <w:spacing w:line="540" w:lineRule="exact"/>
        <w:ind w:firstLine="4160" w:firstLineChars="1300"/>
        <w:textAlignment w:val="auto"/>
        <w:rPr>
          <w:rFonts w:hint="eastAsia" w:ascii="仿宋_GB2312" w:hAnsi="仿宋_GB2312" w:eastAsia="仿宋_GB2312" w:cs="仿宋_GB2312"/>
          <w:i w:val="0"/>
          <w:iCs w:val="0"/>
          <w:color w:val="000000"/>
          <w:kern w:val="0"/>
          <w:sz w:val="32"/>
          <w:szCs w:val="32"/>
          <w:u w:val="none"/>
          <w:lang w:val="en-US" w:eastAsia="zh-CN" w:bidi="ar"/>
        </w:rPr>
      </w:pPr>
      <w:r>
        <w:rPr>
          <w:rFonts w:hint="eastAsia" w:ascii="仿宋_GB2312" w:hAnsi="仿宋_GB2312" w:eastAsia="仿宋_GB2312" w:cs="仿宋_GB2312"/>
          <w:i w:val="0"/>
          <w:iCs w:val="0"/>
          <w:color w:val="000000"/>
          <w:kern w:val="0"/>
          <w:sz w:val="32"/>
          <w:szCs w:val="32"/>
          <w:u w:val="none"/>
          <w:lang w:val="en-US" w:eastAsia="zh-CN" w:bidi="ar"/>
        </w:rPr>
        <w:t>中共民乐县纪委办公室</w:t>
      </w:r>
    </w:p>
    <w:p w14:paraId="7074CE6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4617" w:firstLineChars="1443"/>
        <w:textAlignment w:val="auto"/>
        <w:rPr>
          <w:rFonts w:hint="default" w:ascii="仿宋" w:hAnsi="仿宋" w:eastAsia="仿宋" w:cs="仿宋"/>
          <w:i w:val="0"/>
          <w:iCs w:val="0"/>
          <w:color w:val="000000"/>
          <w:kern w:val="0"/>
          <w:sz w:val="32"/>
          <w:szCs w:val="32"/>
          <w:u w:val="none"/>
          <w:lang w:val="en-US" w:eastAsia="zh-CN"/>
        </w:rPr>
      </w:pPr>
      <w:r>
        <w:rPr>
          <w:rFonts w:hint="eastAsia" w:ascii="仿宋_GB2312" w:hAnsi="仿宋_GB2312" w:eastAsia="仿宋_GB2312" w:cs="仿宋_GB2312"/>
          <w:i w:val="0"/>
          <w:iCs w:val="0"/>
          <w:color w:val="000000"/>
          <w:kern w:val="0"/>
          <w:sz w:val="32"/>
          <w:szCs w:val="32"/>
          <w:u w:val="none"/>
          <w:lang w:val="en-US" w:eastAsia="zh-CN" w:bidi="ar"/>
        </w:rPr>
        <w:t>2024年2月26日</w:t>
      </w:r>
    </w:p>
    <w:p w14:paraId="5C2872A2">
      <w:pPr>
        <w:pStyle w:val="8"/>
        <w:rPr>
          <w:rFonts w:hint="default" w:ascii="仿宋" w:hAnsi="仿宋" w:eastAsia="仿宋" w:cs="仿宋"/>
          <w:i w:val="0"/>
          <w:iCs w:val="0"/>
          <w:color w:val="000000"/>
          <w:kern w:val="0"/>
          <w:sz w:val="32"/>
          <w:szCs w:val="32"/>
          <w:u w:val="none"/>
          <w:lang w:val="en-US" w:eastAsia="zh-CN" w:bidi="ar"/>
        </w:rPr>
      </w:pPr>
      <w:bookmarkStart w:id="0" w:name="_GoBack"/>
      <w:bookmarkEnd w:id="0"/>
    </w:p>
    <w:sectPr>
      <w:headerReference r:id="rId3" w:type="default"/>
      <w:footerReference r:id="rId4" w:type="default"/>
      <w:pgSz w:w="11906" w:h="16838"/>
      <w:pgMar w:top="1984" w:right="1474" w:bottom="1984" w:left="1587" w:header="851" w:footer="1304" w:gutter="0"/>
      <w:pgBorders>
        <w:top w:val="none" w:sz="0" w:space="0"/>
        <w:left w:val="none" w:sz="0" w:space="0"/>
        <w:bottom w:val="none" w:sz="0" w:space="0"/>
        <w:right w:val="none" w:sz="0" w:space="0"/>
      </w:pgBorders>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7F3FAC">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000A76">
                          <w:pPr>
                            <w:pStyle w:val="5"/>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3000A76">
                    <w:pPr>
                      <w:pStyle w:val="5"/>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F16B6E">
    <w:pPr>
      <w:pStyle w:val="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B5F032A"/>
    <w:multiLevelType w:val="singleLevel"/>
    <w:tmpl w:val="3B5F032A"/>
    <w:lvl w:ilvl="0" w:tentative="0">
      <w:start w:val="2"/>
      <w:numFmt w:val="chineseCounting"/>
      <w:suff w:val="nothing"/>
      <w:lvlText w:val="（%1）"/>
      <w:lvlJc w:val="left"/>
      <w:pPr>
        <w:ind w:left="-13"/>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diNzJlMjlmMjMxNWY5MWJiMWJhZmYxYzI2MmRiNmIifQ=="/>
  </w:docVars>
  <w:rsids>
    <w:rsidRoot w:val="37C67F62"/>
    <w:rsid w:val="00A8347F"/>
    <w:rsid w:val="03031C85"/>
    <w:rsid w:val="05D36454"/>
    <w:rsid w:val="0BEE2484"/>
    <w:rsid w:val="0FFB215A"/>
    <w:rsid w:val="11990FE9"/>
    <w:rsid w:val="16504596"/>
    <w:rsid w:val="16D231FD"/>
    <w:rsid w:val="16FC0555"/>
    <w:rsid w:val="17F74351"/>
    <w:rsid w:val="18884C1A"/>
    <w:rsid w:val="1B0A464B"/>
    <w:rsid w:val="1B107B9F"/>
    <w:rsid w:val="1D1F17FB"/>
    <w:rsid w:val="1DC53ABB"/>
    <w:rsid w:val="1FB35566"/>
    <w:rsid w:val="21345939"/>
    <w:rsid w:val="233A0BA3"/>
    <w:rsid w:val="245602C0"/>
    <w:rsid w:val="25592D3B"/>
    <w:rsid w:val="26D83139"/>
    <w:rsid w:val="28E03E9F"/>
    <w:rsid w:val="2AAF56F4"/>
    <w:rsid w:val="2AC86999"/>
    <w:rsid w:val="2AE70333"/>
    <w:rsid w:val="2B65068C"/>
    <w:rsid w:val="2BB74F6D"/>
    <w:rsid w:val="2F8224FF"/>
    <w:rsid w:val="2FE37DD1"/>
    <w:rsid w:val="301118AB"/>
    <w:rsid w:val="32EC1E5D"/>
    <w:rsid w:val="33B70F37"/>
    <w:rsid w:val="34DB551B"/>
    <w:rsid w:val="371F6395"/>
    <w:rsid w:val="37C67F62"/>
    <w:rsid w:val="38BD5663"/>
    <w:rsid w:val="39B36A66"/>
    <w:rsid w:val="3A1D1004"/>
    <w:rsid w:val="3DE8273D"/>
    <w:rsid w:val="3EB46EC5"/>
    <w:rsid w:val="3ED23D8D"/>
    <w:rsid w:val="4010076E"/>
    <w:rsid w:val="416C35EE"/>
    <w:rsid w:val="42295B17"/>
    <w:rsid w:val="4380288B"/>
    <w:rsid w:val="45DC10F2"/>
    <w:rsid w:val="46B94F30"/>
    <w:rsid w:val="47057F6B"/>
    <w:rsid w:val="481A7A35"/>
    <w:rsid w:val="4F912F4E"/>
    <w:rsid w:val="50AB794F"/>
    <w:rsid w:val="535266B3"/>
    <w:rsid w:val="53E65255"/>
    <w:rsid w:val="55837A42"/>
    <w:rsid w:val="59047787"/>
    <w:rsid w:val="59352B9C"/>
    <w:rsid w:val="59543849"/>
    <w:rsid w:val="59D800F7"/>
    <w:rsid w:val="5C7E3B7E"/>
    <w:rsid w:val="5D347D3A"/>
    <w:rsid w:val="63404148"/>
    <w:rsid w:val="6413668F"/>
    <w:rsid w:val="64666825"/>
    <w:rsid w:val="65640A91"/>
    <w:rsid w:val="66833198"/>
    <w:rsid w:val="66C84968"/>
    <w:rsid w:val="67472418"/>
    <w:rsid w:val="67CE0F1A"/>
    <w:rsid w:val="6E602011"/>
    <w:rsid w:val="6F3A3E83"/>
    <w:rsid w:val="709B5B41"/>
    <w:rsid w:val="721F20D8"/>
    <w:rsid w:val="74985D22"/>
    <w:rsid w:val="76C84BF7"/>
    <w:rsid w:val="774502E9"/>
    <w:rsid w:val="79014704"/>
    <w:rsid w:val="7BB96FE3"/>
    <w:rsid w:val="7E1E12D9"/>
    <w:rsid w:val="7ECC04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99"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iPriority="99" w:semiHidden="0" w:name="Block Text"/>
    <w:lsdException w:qFormat="1" w:unhideWhenUsed="0" w:uiPriority="0" w:semiHidden="0" w:name="Hyperlink"/>
    <w:lsdException w:qFormat="1" w:unhideWhenUsed="0" w:uiPriority="0" w:semiHidden="0" w:name="FollowedHyperlink"/>
    <w:lsdException w:qFormat="1" w:uiPriority="99"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index 5"/>
    <w:basedOn w:val="1"/>
    <w:next w:val="1"/>
    <w:qFormat/>
    <w:uiPriority w:val="99"/>
    <w:pPr>
      <w:ind w:left="1680"/>
    </w:pPr>
  </w:style>
  <w:style w:type="paragraph" w:styleId="3">
    <w:name w:val="Body Text Indent"/>
    <w:basedOn w:val="1"/>
    <w:autoRedefine/>
    <w:qFormat/>
    <w:uiPriority w:val="0"/>
    <w:pPr>
      <w:spacing w:after="120"/>
      <w:ind w:left="420" w:leftChars="200"/>
    </w:pPr>
  </w:style>
  <w:style w:type="paragraph" w:styleId="4">
    <w:name w:val="Block Text"/>
    <w:basedOn w:val="1"/>
    <w:unhideWhenUsed/>
    <w:qFormat/>
    <w:uiPriority w:val="99"/>
    <w:pPr>
      <w:overflowPunct w:val="0"/>
      <w:spacing w:line="580" w:lineRule="exact"/>
    </w:pPr>
    <w:rPr>
      <w:rFonts w:ascii="Times New Roman" w:hAnsi="Times New Roman" w:eastAsia="仿宋_GB2312"/>
      <w:sz w:val="32"/>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styleId="8">
    <w:name w:val="Body Text First Indent 2"/>
    <w:basedOn w:val="3"/>
    <w:autoRedefine/>
    <w:qFormat/>
    <w:uiPriority w:val="0"/>
    <w:pPr>
      <w:widowControl/>
      <w:ind w:firstLine="420" w:firstLineChars="200"/>
      <w:jc w:val="left"/>
    </w:pPr>
    <w:rPr>
      <w:rFonts w:eastAsia="仿宋_GB2312"/>
      <w:kern w:val="0"/>
      <w:sz w:val="32"/>
      <w:szCs w:val="32"/>
    </w:rPr>
  </w:style>
  <w:style w:type="character" w:styleId="11">
    <w:name w:val="Strong"/>
    <w:basedOn w:val="10"/>
    <w:autoRedefine/>
    <w:unhideWhenUsed/>
    <w:qFormat/>
    <w:uiPriority w:val="99"/>
    <w:rPr>
      <w:rFonts w:hint="default"/>
      <w:b/>
      <w:sz w:val="24"/>
      <w:szCs w:val="24"/>
    </w:rPr>
  </w:style>
  <w:style w:type="character" w:styleId="12">
    <w:name w:val="FollowedHyperlink"/>
    <w:basedOn w:val="10"/>
    <w:autoRedefine/>
    <w:qFormat/>
    <w:uiPriority w:val="0"/>
    <w:rPr>
      <w:color w:val="800080"/>
      <w:u w:val="single"/>
    </w:rPr>
  </w:style>
  <w:style w:type="character" w:styleId="13">
    <w:name w:val="Hyperlink"/>
    <w:basedOn w:val="10"/>
    <w:autoRedefine/>
    <w:qFormat/>
    <w:uiPriority w:val="0"/>
    <w:rPr>
      <w:color w:val="0000FF"/>
      <w:u w:val="single"/>
    </w:rPr>
  </w:style>
  <w:style w:type="character" w:customStyle="1" w:styleId="14">
    <w:name w:val="font11"/>
    <w:basedOn w:val="10"/>
    <w:autoRedefine/>
    <w:qFormat/>
    <w:uiPriority w:val="0"/>
    <w:rPr>
      <w:rFonts w:hint="eastAsia" w:ascii="宋体" w:hAnsi="宋体" w:eastAsia="宋体" w:cs="宋体"/>
      <w:b/>
      <w:bCs/>
      <w:color w:val="000000"/>
      <w:sz w:val="44"/>
      <w:szCs w:val="44"/>
      <w:u w:val="none"/>
    </w:rPr>
  </w:style>
  <w:style w:type="character" w:customStyle="1" w:styleId="15">
    <w:name w:val="font01"/>
    <w:basedOn w:val="10"/>
    <w:autoRedefine/>
    <w:qFormat/>
    <w:uiPriority w:val="0"/>
    <w:rPr>
      <w:rFonts w:ascii="仿宋_GB2312" w:eastAsia="仿宋_GB2312" w:cs="仿宋_GB2312"/>
      <w:color w:val="000000"/>
      <w:sz w:val="44"/>
      <w:szCs w:val="44"/>
      <w:u w:val="none"/>
    </w:rPr>
  </w:style>
  <w:style w:type="character" w:customStyle="1" w:styleId="16">
    <w:name w:val="font71"/>
    <w:basedOn w:val="10"/>
    <w:autoRedefine/>
    <w:qFormat/>
    <w:uiPriority w:val="0"/>
    <w:rPr>
      <w:rFonts w:hint="eastAsia" w:ascii="黑体" w:hAnsi="宋体" w:eastAsia="黑体" w:cs="黑体"/>
      <w:color w:val="000000"/>
      <w:sz w:val="32"/>
      <w:szCs w:val="32"/>
      <w:u w:val="none"/>
    </w:rPr>
  </w:style>
  <w:style w:type="character" w:customStyle="1" w:styleId="17">
    <w:name w:val="font61"/>
    <w:basedOn w:val="10"/>
    <w:autoRedefine/>
    <w:qFormat/>
    <w:uiPriority w:val="0"/>
    <w:rPr>
      <w:rFonts w:ascii="Arial" w:hAnsi="Arial" w:cs="Arial"/>
      <w:color w:val="000000"/>
      <w:sz w:val="32"/>
      <w:szCs w:val="32"/>
      <w:u w:val="none"/>
    </w:rPr>
  </w:style>
  <w:style w:type="character" w:customStyle="1" w:styleId="18">
    <w:name w:val="font31"/>
    <w:basedOn w:val="10"/>
    <w:autoRedefine/>
    <w:qFormat/>
    <w:uiPriority w:val="0"/>
    <w:rPr>
      <w:rFonts w:hint="eastAsia" w:ascii="楷体" w:hAnsi="楷体" w:eastAsia="楷体" w:cs="楷体"/>
      <w:color w:val="000000"/>
      <w:sz w:val="32"/>
      <w:szCs w:val="32"/>
      <w:u w:val="none"/>
    </w:rPr>
  </w:style>
  <w:style w:type="character" w:customStyle="1" w:styleId="19">
    <w:name w:val="font51"/>
    <w:basedOn w:val="10"/>
    <w:autoRedefine/>
    <w:qFormat/>
    <w:uiPriority w:val="0"/>
    <w:rPr>
      <w:rFonts w:hint="default" w:ascii="仿宋_GB2312" w:eastAsia="仿宋_GB2312" w:cs="仿宋_GB2312"/>
      <w:color w:val="000000"/>
      <w:sz w:val="32"/>
      <w:szCs w:val="3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3443</Words>
  <Characters>3611</Characters>
  <Lines>0</Lines>
  <Paragraphs>0</Paragraphs>
  <TotalTime>6</TotalTime>
  <ScaleCrop>false</ScaleCrop>
  <LinksUpToDate>false</LinksUpToDate>
  <CharactersWithSpaces>3621</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2021-10-26T01:03:00Z</dcterms:created>
  <dc:creator>Administrator</dc:creator>
  <cp:lastModifiedBy>静听风吟</cp:lastModifiedBy>
  <dcterms:modified xsi:type="dcterms:W3CDTF">2024-09-13T07:40:02Z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DFA41AF1C3464241B2438B04B64725EC_13</vt:lpwstr>
  </property>
</Properties>
</file>